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Anti-Hyperglycemic Agents Market Trends for 2026–2033: What Buyers and Investors Should Know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investors are watching the anti-hyperglycemic agents market as diabetes care shifts from simple glucose control to cardiorenal protection and weight management; rising type 2 diabetes, new oral GLP-1s, biosimilars and AI-driven tools are reshaping demand and value across North America, Europe and Asia Pacific.</w:t>
      </w:r>
      <w:r/>
    </w:p>
    <w:p>
      <w:r/>
      <w:r>
        <w:t>Essential Takeaways</w:t>
      </w:r>
      <w:r/>
      <w:r/>
    </w:p>
    <w:p>
      <w:pPr>
        <w:pStyle w:val="ListBullet"/>
        <w:spacing w:line="240" w:lineRule="auto"/>
        <w:ind w:left="720"/>
      </w:pPr>
      <w:r/>
      <w:r>
        <w:rPr>
          <w:b/>
        </w:rPr>
        <w:t>Market size:</w:t>
      </w:r>
      <w:r>
        <w:t xml:space="preserve"> The sector is forecast to grow from roughly US$53.2bn in 2026 to about US$76.4bn by 2033, at a CAGR near 5.3%. </w:t>
      </w:r>
      <w:r/>
    </w:p>
    <w:p>
      <w:pPr>
        <w:pStyle w:val="ListBullet"/>
        <w:spacing w:line="240" w:lineRule="auto"/>
        <w:ind w:left="720"/>
      </w:pPr>
      <w:r/>
      <w:r>
        <w:rPr>
          <w:b/>
        </w:rPr>
        <w:t>Leading drug classes:</w:t>
      </w:r>
      <w:r>
        <w:t xml:space="preserve"> GLP‑1 receptor agonists are the fastest-growing and largest class, driven by dual glucose and weight benefits and newer oral options. </w:t>
      </w:r>
      <w:r/>
    </w:p>
    <w:p>
      <w:pPr>
        <w:pStyle w:val="ListBullet"/>
        <w:spacing w:line="240" w:lineRule="auto"/>
        <w:ind w:left="720"/>
      </w:pPr>
      <w:r/>
      <w:r>
        <w:rPr>
          <w:b/>
        </w:rPr>
        <w:t>Regional picture:</w:t>
      </w:r>
      <w:r>
        <w:t xml:space="preserve"> North America holds the biggest slice thanks to high uptake and reimbursement; Asia Pacific is the fastest-growing market on population and access trends. </w:t>
      </w:r>
      <w:r/>
    </w:p>
    <w:p>
      <w:pPr>
        <w:pStyle w:val="ListBullet"/>
        <w:spacing w:line="240" w:lineRule="auto"/>
        <w:ind w:left="720"/>
      </w:pPr>
      <w:r/>
      <w:r>
        <w:rPr>
          <w:b/>
        </w:rPr>
        <w:t>Drivers:</w:t>
      </w:r>
      <w:r>
        <w:t xml:space="preserve"> Rising type 2 diabetes and obesity, better delivery systems (weekly injectables, oral formulations), and integration with digital health and AI. </w:t>
      </w:r>
      <w:r/>
    </w:p>
    <w:p>
      <w:pPr>
        <w:pStyle w:val="ListBullet"/>
        <w:spacing w:line="240" w:lineRule="auto"/>
        <w:ind w:left="720"/>
      </w:pPr>
      <w:r/>
      <w:r>
        <w:rPr>
          <w:b/>
        </w:rPr>
        <w:t>Headwinds:</w:t>
      </w:r>
      <w:r>
        <w:t xml:space="preserve"> Patent cliffs, generic competition and pricing pressure are compressing margins and forcing innovation in formulations and combinations.</w:t>
      </w:r>
      <w:r/>
      <w:r/>
    </w:p>
    <w:p>
      <w:pPr>
        <w:pStyle w:val="Heading2"/>
      </w:pPr>
      <w:r>
        <w:t>Why GLP‑1s and SGLT2s are stealing the spotlight</w:t>
      </w:r>
      <w:r/>
    </w:p>
    <w:p>
      <w:r/>
      <w:r>
        <w:t>GLP‑1 receptor agonists and SGLT2 inhibitors have moved beyond mere glucose lowering to offer visible weight loss and cardiorenal benefits, so they feel like more than a pill , they deliver outcomes patients notice. Industry reports show prescribers increasingly favour these classes, especially where obesity and cardiovascular risk are concerns. That has translated into larger market shares for GLP‑1s and strong growth forecasts across developed markets. For purchasers and clinicians that means formularies are evolving quickly; payers are balancing cost-effectiveness against clear real‑world benefits.</w:t>
      </w:r>
      <w:r/>
    </w:p>
    <w:p>
      <w:pPr>
        <w:pStyle w:val="Heading2"/>
      </w:pPr>
      <w:r>
        <w:t>Delivery and tech innovations are changing patient behaviour</w:t>
      </w:r>
      <w:r/>
    </w:p>
    <w:p>
      <w:r/>
      <w:r>
        <w:t>Once-daily injections and complex regimens are being replaced by once-weekly injectables, oral GLP‑1 candidates and connected devices. These changes help adherence , a quiet but powerful factor in real outcomes , and open access to patients reluctant to start injections. Meanwhile, AI-driven dosing platforms and integration with continuous glucose monitors are helping personalise therapy and reduce adverse events. For clinicians and health systems, investing in these digital tools can improve long‑term control and reduce hospital admissions.</w:t>
      </w:r>
      <w:r/>
    </w:p>
    <w:p>
      <w:pPr>
        <w:pStyle w:val="Heading2"/>
      </w:pPr>
      <w:r>
        <w:t>Regional dynamics: big markets, different drivers</w:t>
      </w:r>
      <w:r/>
    </w:p>
    <w:p>
      <w:r/>
      <w:r>
        <w:t>North America dominates in spend and early adoption due to advanced care pathways and generous reimbursement, particularly in the U.S. Europe emphasises cost-effectiveness and biosimilar uptake under HTA frameworks, which tempers but does not halt access to novel therapies. Asia Pacific is the growth engine: urbanisation, rising middle classes and large diabetic populations in China and India push volume demand, and local manufacturing of biosimilars helps affordability. If you’re an investor or supplier, that means tailoring go‑to‑market plans regionally , premium positioning in North America, value and scale in Asia.</w:t>
      </w:r>
      <w:r/>
    </w:p>
    <w:p>
      <w:pPr>
        <w:pStyle w:val="Heading2"/>
      </w:pPr>
      <w:r>
        <w:t>Pricing pressure and the patent cliff: what manufacturers will do next</w:t>
      </w:r>
      <w:r/>
    </w:p>
    <w:p>
      <w:r/>
      <w:r>
        <w:t>Patent expiries are prompting a wave of generics and biosimilars that will erode prices for originators. Companies are responding with formulation tweaks, fixed‑dose combinations, and long‑acting or oral variants to preserve differentiation. Expect consolidation, more emphasis on lifecycle management and tighter supply‑chain strategies. For health buyers, this creates opportunity: negotiating biosimilars into formularies can cut costs, while targeted use of premium agents can be reserved for patients who gain the most clinical benefit.</w:t>
      </w:r>
      <w:r/>
    </w:p>
    <w:p>
      <w:pPr>
        <w:pStyle w:val="Heading2"/>
      </w:pPr>
      <w:r>
        <w:t>Practical advice for healthcare buyers and clinicians</w:t>
      </w:r>
      <w:r/>
    </w:p>
    <w:p>
      <w:r/>
      <w:r>
        <w:t>Choose therapies with an eye on patient lifestyle, comorbidity benefits and adherence. For example, consider GLP‑1s for patients with obesity and cardiorenal risk, and SGLT2s where renal protection is key. Evaluate total cost of care , higher drug spend can be offset by fewer complications and hospitalisations. Also assess digital integrations: connected pens and monitoring tools can lift adherence and justify slightly higher therapy costs. Finally, keep an eye on biosimilar launches and local reimbursement shifts; they’ll change procurement dynamics fast.</w:t>
      </w:r>
      <w:r/>
    </w:p>
    <w:p>
      <w:r/>
      <w:r>
        <w:t>It's a small change in approach that can make every treatment plan work a lot better for patients and budgets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[6]</w:t>
        </w:r>
      </w:hyperlink>
      <w:r>
        <w:t xml:space="preserve">- Paragraph 4: </w:t>
      </w:r>
      <w:hyperlink r:id="rId10">
        <w:r>
          <w:rPr>
            <w:color w:val="0000EE"/>
            <w:u w:val="single"/>
          </w:rPr>
          <w:t>[2]</w:t>
        </w:r>
      </w:hyperlink>
      <w:r>
        <w:t xml:space="preserve">, </w:t>
      </w:r>
      <w:hyperlink r:id="rId14">
        <w:r>
          <w:rPr>
            <w:color w:val="0000EE"/>
            <w:u w:val="single"/>
          </w:rPr>
          <w:t>[4]</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https://www.openpr.com/news/4504217/anti-hyperglycemic-agents-market-growth-driven-by-rising</w:t>
        </w:r>
      </w:hyperlink>
      <w:r>
        <w:t xml:space="preserve"> - Please view link - unable to able to access data</w:t>
      </w:r>
      <w:r/>
    </w:p>
    <w:p>
      <w:pPr>
        <w:pStyle w:val="ListNumber"/>
        <w:spacing w:line="240" w:lineRule="auto"/>
        <w:ind w:left="720"/>
      </w:pPr>
      <w:r/>
      <w:hyperlink r:id="rId10">
        <w:r>
          <w:rPr>
            <w:color w:val="0000EE"/>
            <w:u w:val="single"/>
          </w:rPr>
          <w:t>https://www.persistencemarketresearch.com/market-research/anti-hyperglycemic-agents-market.asp</w:t>
        </w:r>
      </w:hyperlink>
      <w:r>
        <w:t xml:space="preserve"> - This report from Persistence Market Research provides an in-depth analysis of the global anti-hyperglycemic agents market, projecting a valuation of US$53.2 billion by 2026 and US$76.4 billion by 2033, with a compound annual growth rate (CAGR) of 5.3% between 2026 and 2033. The growth is primarily driven by the escalating prevalence of metabolic disorders worldwide and an increasing preference for high-value incretin-based therapies. The report also highlights structural advancements in drug delivery systems and expanding healthcare infrastructure in emerging economies as contributing factors to the market's upward trajectory.</w:t>
      </w:r>
      <w:r/>
    </w:p>
    <w:p>
      <w:pPr>
        <w:pStyle w:val="ListNumber"/>
        <w:spacing w:line="240" w:lineRule="auto"/>
        <w:ind w:left="720"/>
      </w:pPr>
      <w:r/>
      <w:hyperlink r:id="rId12">
        <w:r>
          <w:rPr>
            <w:color w:val="0000EE"/>
            <w:u w:val="single"/>
          </w:rPr>
          <w:t>https://www.grandviewresearch.com/industry-analysis/antidiabetics-market</w:t>
        </w:r>
      </w:hyperlink>
      <w:r>
        <w:t xml:space="preserve"> - Grand View Research's report on the antidiabetics market estimates the global market size at USD 91,344.9 million in 2024, with projections reaching USD 168,553.6 million by 2030, growing at a CAGR of 10.75% from 2025 to 2030. The report attributes this growth to rising diabetes prevalence, advancements in GLP-1 receptor agonists and SGLT2 inhibitors, and increasing adoption of combination therapies.</w:t>
      </w:r>
      <w:r/>
    </w:p>
    <w:p>
      <w:pPr>
        <w:pStyle w:val="ListNumber"/>
        <w:spacing w:line="240" w:lineRule="auto"/>
        <w:ind w:left="720"/>
      </w:pPr>
      <w:r/>
      <w:hyperlink r:id="rId14">
        <w:r>
          <w:rPr>
            <w:color w:val="0000EE"/>
            <w:u w:val="single"/>
          </w:rPr>
          <w:t>https://www.credenceresearch.com/report/anti-hyperglycemic-agents-market</w:t>
        </w:r>
      </w:hyperlink>
      <w:r>
        <w:t xml:space="preserve"> - Credence Research's report on the anti-hyperglycemic agents market highlights the escalating burden of type 2 diabetes worldwide, coupled with lifestyle-related factors such as obesity and sedentary habits, as primary drivers of market growth. The development of SGLT-2 inhibitors, GLP-1 receptor agonists, and DPP-4 inhibitors has revolutionized treatment regimens, offering improved efficacy with lower risks of hypoglycemia. The increasing approval of novel drugs, including oral GLP-1 receptor agonists, is expanding treatment options and improving patient compliance.</w:t>
      </w:r>
      <w:r/>
    </w:p>
    <w:p>
      <w:pPr>
        <w:pStyle w:val="ListNumber"/>
        <w:spacing w:line="240" w:lineRule="auto"/>
        <w:ind w:left="720"/>
      </w:pPr>
      <w:r/>
      <w:hyperlink r:id="rId11">
        <w:r>
          <w:rPr>
            <w:color w:val="0000EE"/>
            <w:u w:val="single"/>
          </w:rPr>
          <w:t>https://www.managedhealthcareexecutive.com/view/glp-1-drugs-to-drive-growth-in-obesity-and-diabetes-treatment-amcp-annual-2026</w:t>
        </w:r>
      </w:hyperlink>
      <w:r>
        <w:t xml:space="preserve"> - An article from Managed Healthcare Executive discusses the significant impact of GLP-1 receptor agonists on the treatment of obesity and diabetes. The article notes that GLP-1 therapies generated approximately $132 billion in sales in 2025, a 33.5% increase from 2024. Sales of GLP-1 therapies for weight-loss indications alone increased by 131% on a compounded annual growth rate basis, highlighting the growing role of these drugs in managing both obesity and diabetes.</w:t>
      </w:r>
      <w:r/>
    </w:p>
    <w:p>
      <w:pPr>
        <w:pStyle w:val="ListNumber"/>
        <w:spacing w:line="240" w:lineRule="auto"/>
        <w:ind w:left="720"/>
      </w:pPr>
      <w:r/>
      <w:hyperlink r:id="rId13">
        <w:r>
          <w:rPr>
            <w:color w:val="0000EE"/>
            <w:u w:val="single"/>
          </w:rPr>
          <w:t>https://www.towardshealthcare.com/insights/antidiabetics-market-sizing</w:t>
        </w:r>
      </w:hyperlink>
      <w:r>
        <w:t xml:space="preserve"> - This article from Towards Healthcare provides insights into the antidiabetics market, estimating the global market size at USD 101.25 billion in 2025, with projections increasing to approximately USD 282.1 billion by 2035, expanding at a CAGR of 10.79% from 2026 to 2035. The market expansion is driven by rising diabetes prevalence, growing adoption of oral drugs and injectables, and increasing focus on early diagnosis, long-term disease management, and innovation in combination therapies and advanced insulin formulations.</w:t>
      </w:r>
      <w:r/>
    </w:p>
    <w:p>
      <w:pPr>
        <w:pStyle w:val="ListNumber"/>
        <w:spacing w:line="240" w:lineRule="auto"/>
        <w:ind w:left="720"/>
      </w:pPr>
      <w:r/>
      <w:hyperlink r:id="rId15">
        <w:r>
          <w:rPr>
            <w:color w:val="0000EE"/>
            <w:u w:val="single"/>
          </w:rPr>
          <w:t>https://www.grandviewresearch.com/horizon/outlook/antidiabetics-market/united-states</w:t>
        </w:r>
      </w:hyperlink>
      <w:r>
        <w:t xml:space="preserve"> - Grand View Research's outlook on the U.S. antidiabetics market projects a revenue of USD 36,077.1 million in 2024, expected to reach USD 67,233.5 million by 2030, with a CAGR of 10.9% from 2025 to 2030. The report highlights GLP-1 receptor agonists as the largest revenue-generating drug class in 2024 and notes that GLP-1 receptor agonists are the most lucrative drug class segment, registering the fastest growth during the forecast period.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504217/anti-hyperglycemic-agents-market-growth-driven-by-rising" TargetMode="External"/><Relationship Id="rId10" Type="http://schemas.openxmlformats.org/officeDocument/2006/relationships/hyperlink" Target="https://www.persistencemarketresearch.com/market-research/anti-hyperglycemic-agents-market.asp" TargetMode="External"/><Relationship Id="rId11" Type="http://schemas.openxmlformats.org/officeDocument/2006/relationships/hyperlink" Target="https://www.managedhealthcareexecutive.com/view/glp-1-drugs-to-drive-growth-in-obesity-and-diabetes-treatment-amcp-annual-2026" TargetMode="External"/><Relationship Id="rId12" Type="http://schemas.openxmlformats.org/officeDocument/2006/relationships/hyperlink" Target="https://www.grandviewresearch.com/industry-analysis/antidiabetics-market" TargetMode="External"/><Relationship Id="rId13" Type="http://schemas.openxmlformats.org/officeDocument/2006/relationships/hyperlink" Target="https://www.towardshealthcare.com/insights/antidiabetics-market-sizing" TargetMode="External"/><Relationship Id="rId14" Type="http://schemas.openxmlformats.org/officeDocument/2006/relationships/hyperlink" Target="https://www.credenceresearch.com/report/anti-hyperglycemic-agents-market" TargetMode="External"/><Relationship Id="rId15" Type="http://schemas.openxmlformats.org/officeDocument/2006/relationships/hyperlink" Target="https://www.grandviewresearch.com/horizon/outlook/antidiabetics-market/united-sta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