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Biocompatible Materials for Medical Devices: Why Certified, Traceable Options Lead the Market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medtech world are increasingly choosing pre-certified, traceable biocompatible materials as suppliers shift from bulk sales to compliance-driven partnerships; this matters because it speeds device approvals, reduces post-market headaches and often commands a premium.</w:t>
      </w:r>
      <w:r/>
    </w:p>
    <w:p>
      <w:r/>
      <w:r>
        <w:t>Essential Takeaways</w:t>
      </w:r>
      <w:r/>
      <w:r/>
    </w:p>
    <w:p>
      <w:pPr>
        <w:pStyle w:val="ListBullet"/>
        <w:spacing w:line="240" w:lineRule="auto"/>
        <w:ind w:left="720"/>
      </w:pPr>
      <w:r/>
      <w:r>
        <w:rPr>
          <w:b/>
        </w:rPr>
        <w:t>Market scale:</w:t>
      </w:r>
      <w:r>
        <w:t xml:space="preserve"> The biocompatible materials sector is growing fast, with polymers leading and surgical applications dominant. </w:t>
      </w:r>
      <w:r/>
    </w:p>
    <w:p>
      <w:pPr>
        <w:pStyle w:val="ListBullet"/>
        <w:spacing w:line="240" w:lineRule="auto"/>
        <w:ind w:left="720"/>
      </w:pPr>
      <w:r/>
      <w:r>
        <w:rPr>
          <w:b/>
        </w:rPr>
        <w:t>Compliance-first:</w:t>
      </w:r>
      <w:r>
        <w:t xml:space="preserve"> Buyers now expect full ISO 10993-style documentation and batch traceability, not just a shipment of pellets. </w:t>
      </w:r>
      <w:r/>
    </w:p>
    <w:p>
      <w:pPr>
        <w:pStyle w:val="ListBullet"/>
        <w:spacing w:line="240" w:lineRule="auto"/>
        <w:ind w:left="720"/>
      </w:pPr>
      <w:r/>
      <w:r>
        <w:rPr>
          <w:b/>
        </w:rPr>
        <w:t>Premium positioning:</w:t>
      </w:r>
      <w:r>
        <w:t xml:space="preserve"> Pre-validated, regulation-ready materials command higher prices but cut development time. </w:t>
      </w:r>
      <w:r/>
    </w:p>
    <w:p>
      <w:pPr>
        <w:pStyle w:val="ListBullet"/>
        <w:spacing w:line="240" w:lineRule="auto"/>
        <w:ind w:left="720"/>
      </w:pPr>
      <w:r/>
      <w:r>
        <w:rPr>
          <w:b/>
        </w:rPr>
        <w:t>Innovation hotspots:</w:t>
      </w:r>
      <w:r>
        <w:t xml:space="preserve"> Bioresorbable polymers, bioactive ceramics and 3D-bioprinting feed new device uses. </w:t>
      </w:r>
      <w:r/>
    </w:p>
    <w:p>
      <w:pPr>
        <w:pStyle w:val="ListBullet"/>
        <w:spacing w:line="240" w:lineRule="auto"/>
        <w:ind w:left="720"/>
      </w:pPr>
      <w:r/>
      <w:r>
        <w:rPr>
          <w:b/>
        </w:rPr>
        <w:t>Practical tip:</w:t>
      </w:r>
      <w:r>
        <w:t xml:space="preserve"> Prioritise suppliers offering digital traceability and post-market support to reduce regulatory risk.</w:t>
      </w:r>
      <w:r/>
      <w:r/>
    </w:p>
    <w:p>
      <w:pPr>
        <w:pStyle w:val="Heading2"/>
      </w:pPr>
      <w:r>
        <w:t>Why pre-certified materials are the new commodity</w:t>
      </w:r>
      <w:r/>
    </w:p>
    <w:p>
      <w:r/>
      <w:r>
        <w:t>Manufacturers are finding that the material itself is only half the story; the paperwork and validation that come with it now define value, and you can almost feel the difference when a certified batch arrives, clean documentation, clear lot IDs, minimal hand‑holding. Future Market Insights noted that growth is shifting toward high-performance, pre-certified materials that meet international standards. For device teams, that means less time wrestling with biological evaluation reports and more time iterating on design.</w:t>
      </w:r>
      <w:r/>
    </w:p>
    <w:p>
      <w:r/>
      <w:r>
        <w:t>This transition didn’t happen overnight. Tighter rules from Europe and the US, along with ISO 10993 expectations, have pushed procurement committees to demand end‑to‑end compliance. So rather than shop on price alone, buyers prioritise vendors who supply validation support, certificates of analysis and traceability systems.</w:t>
      </w:r>
      <w:r/>
    </w:p>
    <w:p>
      <w:pPr>
        <w:pStyle w:val="Heading2"/>
      </w:pPr>
      <w:r>
        <w:t>Regulation and demand: the twin engines of growth</w:t>
      </w:r>
      <w:r/>
    </w:p>
    <w:p>
      <w:r/>
      <w:r>
        <w:t>Two obvious forces are at work: regulatory pressure and rising clinical need. An ageing population and more chronic conditions mean more implants and procedures, while regulators require more detailed evidence and post-market surveillance. The result is predictable, volume growth plus greater scrutiny.</w:t>
      </w:r>
      <w:r/>
    </w:p>
    <w:p>
      <w:r/>
      <w:r>
        <w:t>That scrutiny raises the bar for materials used in patient-contact devices; procurement teams want documentation before a single mould is set. For medtech startups, the lesson is simple: partnering with a supplier that can shoulder part of the regulatory load can be a strategic shortcut to market.</w:t>
      </w:r>
      <w:r/>
    </w:p>
    <w:p>
      <w:pPr>
        <w:pStyle w:val="Heading2"/>
      </w:pPr>
      <w:r>
        <w:t>Polymers dominate, but advanced materials are stealing headlines</w:t>
      </w:r>
      <w:r/>
    </w:p>
    <w:p>
      <w:r/>
      <w:r>
        <w:t>Synthetic polymers still account for a big slice of the market thanks to versatility and cost-effectiveness, think polyethylene in orthopaedics or PEEK in implants. They’re reliable, familiar and easy to machine. But the more exciting work is happening with bioactive ceramics, hydroxyapatite and bioresorbable polymers which do more than sit there; they participate in healing.</w:t>
      </w:r>
      <w:r/>
    </w:p>
    <w:p>
      <w:r/>
      <w:r>
        <w:t>Those newer materials are critical where devices need to be thin, flexible or active, such as precision implants or components for robotic-assisted surgery. Suppliers that combine performance with regulatory dossiers are the winners, because device engineers want materials that meet mechanical specs and come with biological data.</w:t>
      </w:r>
      <w:r/>
    </w:p>
    <w:p>
      <w:pPr>
        <w:pStyle w:val="Heading2"/>
      </w:pPr>
      <w:r>
        <w:t>Cost, complexity and the compliance burden</w:t>
      </w:r>
      <w:r/>
    </w:p>
    <w:p>
      <w:r/>
      <w:r>
        <w:t>All of this comes with a caveat: compliance is costly. Maintaining batch-level traceability, running continuous monitoring and compiling post-market data ramps up operational overhead, and margins feel the squeeze, especially for smaller suppliers. Companies face regulatory fragmentation too, so a material cleared in one region may need supplementary data elsewhere.</w:t>
      </w:r>
      <w:r/>
    </w:p>
    <w:p>
      <w:r/>
      <w:r>
        <w:t>That said, investing in pre-validation can pay off. Suppliers that build standardised, ready-to-integrate material platforms help device makers compress timelines and avoid late-stage testing surprises. From a buyer’s view, paying a premium for a certified option often reduces overall programme risk and time-to-market.</w:t>
      </w:r>
      <w:r/>
    </w:p>
    <w:p>
      <w:pPr>
        <w:pStyle w:val="Heading2"/>
      </w:pPr>
      <w:r>
        <w:t>Digital traceability and the future of supply chains</w:t>
      </w:r>
      <w:r/>
    </w:p>
    <w:p>
      <w:r/>
      <w:r>
        <w:t>Digital systems are becoming a must-have rather than a nice-to-have. Traceability platforms that log lot history, certificate issuance and post-market feedback make audits simpler and give clinicians and regulators confidence. Expect to see more supplier portals, QR-linked batch records and cloud-based compliance libraries.</w:t>
      </w:r>
      <w:r/>
    </w:p>
    <w:p>
      <w:r/>
      <w:r>
        <w:t>Meanwhile, advanced manufacturing trends, 3D bioprinting, regenerative medicine, are creating demand for tailored biomaterials that are both high-performance and compliance-ready. Suppliers who can demonstrate material provenance and regulatory foresight will be the ones device companies turn to first.</w:t>
      </w:r>
      <w:r/>
    </w:p>
    <w:p>
      <w:r/>
      <w:r>
        <w:t>Closing line Choose materials that come with the paperwork and the partner, it's a small change that can make product development smoother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https://medicalbuyer.co.in/biocompatible-materials-market-to-touch-usd-19-39b/</w:t>
        </w:r>
      </w:hyperlink>
      <w:r>
        <w:t xml:space="preserve"> - Please view link - unable to able to access data</w:t>
      </w:r>
      <w:r/>
    </w:p>
    <w:p>
      <w:pPr>
        <w:pStyle w:val="ListNumber"/>
        <w:spacing w:line="240" w:lineRule="auto"/>
        <w:ind w:left="720"/>
      </w:pPr>
      <w:r/>
      <w:hyperlink r:id="rId10">
        <w:r>
          <w:rPr>
            <w:color w:val="0000EE"/>
            <w:u w:val="single"/>
          </w:rPr>
          <w:t>https://www.futuremarketinsights.com/reports/biocompatible-materials-market</w:t>
        </w:r>
      </w:hyperlink>
      <w:r>
        <w:t xml:space="preserve"> - The biocompatible materials market was valued at USD 9.80 billion in 2025 and is projected to reach USD 10.43 billion in 2026, with a forecasted expansion to USD 19.39 billion by 2036, reflecting a compound annual growth rate (CAGR) of 6.4%. This growth is driven by tightening medical device regulations and increasing demand for certified biocompatible materials across hospital networks. Procurement committees now require full ISO 10993 compliance documentation before approving any material for patient-contact devices, compelling manufacturers to invest in pre-validated polymer and ceramic supply chains.</w:t>
      </w:r>
      <w:r/>
    </w:p>
    <w:p>
      <w:pPr>
        <w:pStyle w:val="ListNumber"/>
        <w:spacing w:line="240" w:lineRule="auto"/>
        <w:ind w:left="720"/>
      </w:pPr>
      <w:r/>
      <w:hyperlink r:id="rId12">
        <w:r>
          <w:rPr>
            <w:color w:val="0000EE"/>
            <w:u w:val="single"/>
          </w:rPr>
          <w:t>https://www.futuremarketinsights.com/reports/neural-interface-pla-and-pha-soft-materials-market</w:t>
        </w:r>
      </w:hyperlink>
      <w:r>
        <w:t xml:space="preserve"> - The global neural interface PLA (Polylactic Acid) and PHA (Polyhydroxyalkanoates) soft materials market is projected to grow from USD 207.4 million in 2026 to USD 649.9 million by 2036, with a robust CAGR of 12.10%. This growth is driven by the increasing demand for biocompatible, biodegradable materials used in neural interfaces and brain-computer interfaces (BCIs). PLA and PHA offer key advantages, such as flexibility, low toxicity, and environmental sustainability, making them ideal for medical implants like neuroprosthetics, prosthetic limbs, and neuromodulation devices.</w:t>
      </w:r>
      <w:r/>
    </w:p>
    <w:p>
      <w:pPr>
        <w:pStyle w:val="ListNumber"/>
        <w:spacing w:line="240" w:lineRule="auto"/>
        <w:ind w:left="720"/>
      </w:pPr>
      <w:r/>
      <w:hyperlink r:id="rId15">
        <w:r>
          <w:rPr>
            <w:color w:val="0000EE"/>
            <w:u w:val="single"/>
          </w:rPr>
          <w:t>https://www.factmr.com/report/implantable-cardiac-fluorine-free-resins-market</w:t>
        </w:r>
      </w:hyperlink>
      <w:r>
        <w:t xml:space="preserve"> - The implantable cardiac fluorine-free resins market is projected to grow from USD 1.5 billion in 2026 to USD 3.9 billion by 2036, at a CAGR of 10.2%. This market transformation is driven by intensifying regulatory scrutiny of per- and polyfluoroalkyl substances (PFAS) and a clinical push for next-generation biocompatible materials. Fluorine-free resins are emerging as next-generation implant materials, offering comparable performance to fluoropolymers while eliminating long-term environmental and bioaccumulation risks.</w:t>
      </w:r>
      <w:r/>
    </w:p>
    <w:p>
      <w:pPr>
        <w:pStyle w:val="ListNumber"/>
        <w:spacing w:line="240" w:lineRule="auto"/>
        <w:ind w:left="720"/>
      </w:pPr>
      <w:r/>
      <w:hyperlink r:id="rId13">
        <w:r>
          <w:rPr>
            <w:color w:val="0000EE"/>
            <w:u w:val="single"/>
          </w:rPr>
          <w:t>https://www.coherentmarketinsights.com/market-insight/bioactive-materials-market-5528</w:t>
        </w:r>
      </w:hyperlink>
      <w:r>
        <w:t xml:space="preserve"> - The bioactive materials market is estimated to be valued at USD 3,337.5 million in 2026 and is expected to reach USD 8,850.7 million in 2033, exhibiting a compound annual growth rate (CAGR) of 14.9% from 2026 to 2033. The Bioactive Glass segment will lead the global bioactive materials market with a share of 35.8% due to its applications in dental and surgical biomedical fields, owing to its regenerative and biocompatible properties.</w:t>
      </w:r>
      <w:r/>
    </w:p>
    <w:p>
      <w:pPr>
        <w:pStyle w:val="ListNumber"/>
        <w:spacing w:line="240" w:lineRule="auto"/>
        <w:ind w:left="720"/>
      </w:pPr>
      <w:r/>
      <w:hyperlink r:id="rId14">
        <w:r>
          <w:rPr>
            <w:color w:val="0000EE"/>
            <w:u w:val="single"/>
          </w:rPr>
          <w:t>https://www.futuremarketinsights.com/reports/bioceramics-and-hydroxyapatite-market</w:t>
        </w:r>
      </w:hyperlink>
      <w:r>
        <w:t xml:space="preserve"> - The bio-ceramics and hydroxyapatite market is forecast to reach USD 8.89 billion by 2036, with an annual growth of 6.9% projected across the 2026-2036 forecast horizon. In 2025, the market value was pegged at USD 4.27 billion. The forecast period unlocks an incremental opportunity worth USD 4.27 billion. Aluminum Oxide leads by material type with a 38.9% share in 2026, reflecting its established use in load-bearing orthopedic and dental implant applications.</w:t>
      </w:r>
      <w:r/>
    </w:p>
    <w:p>
      <w:pPr>
        <w:pStyle w:val="ListNumber"/>
        <w:spacing w:line="240" w:lineRule="auto"/>
        <w:ind w:left="720"/>
      </w:pPr>
      <w:r/>
      <w:hyperlink r:id="rId11">
        <w:r>
          <w:rPr>
            <w:color w:val="0000EE"/>
            <w:u w:val="single"/>
          </w:rPr>
          <w:t>https://www.prnewswire.com/news-releases/global-medical-plastics-market-forecast-20262036-usa-germany--top-companies-dow-inc-evonik-shape-future-302762596.html</w:t>
        </w:r>
      </w:hyperlink>
      <w:r>
        <w:t xml:space="preserve"> - The global medical plastics market is experiencing consistent growth driven by rising healthcare demand, stringent regulatory standards, and increasing adoption of high-performance materials. The market is projected to reach USD 42.8 billion in 2026 and expand to USD 73.6 billion by 2036, growing at a CAGR of 5.6%. As healthcare systems prioritise safety, quality, and compliance, medical plastics have become essential in ensuring reliable performance across medical devices, pharmaceutical packaging, and laboratory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buyer.co.in/biocompatible-materials-market-to-touch-usd-19-39b/" TargetMode="External"/><Relationship Id="rId10" Type="http://schemas.openxmlformats.org/officeDocument/2006/relationships/hyperlink" Target="https://www.futuremarketinsights.com/reports/biocompatible-materials-market" TargetMode="External"/><Relationship Id="rId11" Type="http://schemas.openxmlformats.org/officeDocument/2006/relationships/hyperlink" Target="https://www.prnewswire.com/news-releases/global-medical-plastics-market-forecast-20262036-usa-germany--top-companies-dow-inc-evonik-shape-future-302762596.html" TargetMode="External"/><Relationship Id="rId12" Type="http://schemas.openxmlformats.org/officeDocument/2006/relationships/hyperlink" Target="https://www.futuremarketinsights.com/reports/neural-interface-pla-and-pha-soft-materials-market" TargetMode="External"/><Relationship Id="rId13" Type="http://schemas.openxmlformats.org/officeDocument/2006/relationships/hyperlink" Target="https://www.coherentmarketinsights.com/market-insight/bioactive-materials-market-5528" TargetMode="External"/><Relationship Id="rId14" Type="http://schemas.openxmlformats.org/officeDocument/2006/relationships/hyperlink" Target="https://www.futuremarketinsights.com/reports/bioceramics-and-hydroxyapatite-market" TargetMode="External"/><Relationship Id="rId15" Type="http://schemas.openxmlformats.org/officeDocument/2006/relationships/hyperlink" Target="https://www.factmr.com/report/implantable-cardiac-fluorine-free-resin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