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in Texas Spark Concerns: From Motorcycle Fatalities to Healthcare Disparities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series of reports have highlighted various social and infrastructure issues in Texas. Notably, Dallas and Fort Worth are among the cities with the highest number of motorcycle fatalities. In response to community interests, Al Día is conducting a survey to understand the news preferences of the Hispanic population in the Dallas-Fort Worth area. Furthermore, studies indicate that Hispanics in Texas generally have worse health outcomes compared to those in other states, partly due to a shortage of Hispanic doctors, which compounds healthcare accessibility issues for the Latino community in Texas.</w:t>
      </w:r>
      <w:r/>
    </w:p>
    <w:p>
      <w:r/>
      <w:r>
        <w:t>Additionally, there are concerns regarding the toll road system in Texas. Reports from Yamil Berard point out the complexity and unpredictability of toll fees, which are impacting Texans financially. One specific case noted the economic burden toll fees place on a Keller man, affecting his ability to afford necessary cardiac rehabilitation. The rise in toll roads has been linked to Texas' rapid growth, leading to significant debate over the cost and benefits of these tolls for local commuters.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