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Maternity Units in the UK Under Scrutiny Amid Severe Issues Unveiled in Inquiry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report released by the all-party parliamentary group's birth trauma inquiry in the UK, findings unveiled severe issues across maternity units. The inquiry, which included submissions from 1,311 women, reported a range of problems from denied pain relief and substandard hygiene to chronic understaffing and significant injuries to mothers and babies. As a result, it is estimated that one in twenty women emerge from childbirth with PTSD, highlighting a systemic failure rather than isolated incidents.</w:t>
      </w:r>
      <w:r/>
    </w:p>
    <w:p>
      <w:r/>
      <w:r>
        <w:t>The backlash reflects deeper concerns dating back to austerity measures initiated post-2010, which have been linked to budget cuts in maternity services even as birth rates surged. By 2016, reports from the Royal College of Midwives pointed to a daily stress crisis among half of its members, exacerbated by workforce shortages and increased reliance on costly agency staff. Further compounding the issue, the government's decision to abolish bursaries for nursing and midwifery students in 2017 led to a notable drop-out rate among trainees.</w:t>
      </w:r>
      <w:r/>
    </w:p>
    <w:p>
      <w:r/>
      <w:r>
        <w:t>As of 2022, the Care Quality Commission deemed 80 out of 193 maternity units in the country as unsafe, signifying a widespread problem affecting the standards of care expected in such facilities. The overall findings demand significant health policy adjustments, aiming for a future where excellent care in childbirth is the norm, not the exception.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