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Federal Budget Unveiled with Emphasis on Cost-of-Living Relief and Infrastructure Investments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Treasurer Jim Chalmers of the Labor government presented the Australian federal budget on a Tuesday night, outlining significant cost-of-living relief for citizens amid upcoming elections. With a $9.3 billion budget surplus fueled by robust labor markets and high commodity prices, the budget includes a $300 energy bill credit for each household, increased rent assistance, and a $3 billion cancellation of student debts. This array of financial aids aims to mitigate inflationary impacts without worsening the economic scenario.</w:t>
      </w:r>
      <w:r/>
    </w:p>
    <w:p>
      <w:r/>
      <w:r>
        <w:t>In addition to the provisions for everyday Australians, the budget also revised tax brackets, which saw adjustments to the Stage Three tax cuts announced earlier in January. This revision mainly benefits middle and low-income earners while increasing tax obligations for higher earners.</w:t>
      </w:r>
      <w:r/>
    </w:p>
    <w:p>
      <w:r/>
      <w:r>
        <w:t>Healthcare received a boost with a further $227 million allocated for the expansion of Medicare Urgent Care Clinics, increasing the total to 87 nationwide. These clinics offer extended hours and bulk-billed services, aimed at easing pressures on emergency departments.</w:t>
      </w:r>
      <w:r/>
    </w:p>
    <w:p>
      <w:r/>
      <w:r>
        <w:t>Education and training sectors also saw significant investment with the introduction of 20,000 additional places in fee-free TAFE programs, enhancing vocational training opportunities for students.</w:t>
      </w:r>
      <w:r/>
    </w:p>
    <w:p>
      <w:r/>
      <w:r>
        <w:t>For housing, the budget allocated a substantial $11 billion to alleviate the housing crisis, focusing on building more social housing and addressing homelessness. This initiative spans various aspects, including crisis support and infrastructure development necessary for accommodating additional housing supply.</w:t>
      </w:r>
      <w:r/>
    </w:p>
    <w:p>
      <w:r/>
      <w:r>
        <w:t>In student support, the budget provides a notable relief by wiping $3 billion in HECS debts, which will reduce the student debt burden significantly. This measure is intended to ease the financial strain on former students now entering the workforce.</w:t>
      </w:r>
      <w:r/>
    </w:p>
    <w:p>
      <w:r/>
      <w:r>
        <w:t xml:space="preserve">The budget also commits further funds to bolster infrastructure, particularly in Western Sydney, with $1.9 billion slated for road enhancements to improve traffic flow and accommodate growing populations. </w:t>
      </w:r>
      <w:r/>
    </w:p>
    <w:p>
      <w:r/>
      <w:r>
        <w:t>In agriculture, an additional $519.1 million was directed towards the 'Future Drought Fund' to enhance long-term drought resilience among farmers and regional communities.</w:t>
      </w:r>
      <w:r/>
    </w:p>
    <w:p>
      <w:r/>
      <w:r>
        <w:t>The budget has been positioned by the government as a strategic tool to navigate current economic challenges while planning robustly for Australia's future stability and growth.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