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Zoe Williams Reflects on Stepfather-in-Law's Longevity and Passion for Work at 90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Zoe Williams discussed the remarkable career longevity and vitality of her stepfather-in-law, who continues to work passionately at the age of 90. As an academic focused on education, he remains active by engaging deeply with ongoing policy debates, using technology adeptly, and traveling for work. His enduring enthusiasm for his career offers a contrast to contemporary concerns around work and retirement, highlighted by recent data on "ultra-long" mortgages that extend beyond traditional retirement ages. The personal reflection was published on May 14, 2024.</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