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Australian Federal Budget 2024 Addresses Miscarriage Funding and Women's Health Issues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Australian federal budget for 2024 has allocated dedicated funding for miscarriage for the first time. Isabelle Oderberg, chair of the Early Pregnancy Loss Coalition, welcomed the announcement. This funding aims to address the silence, stigma, and taboo surrounding miscarriage by supporting grief services and launching educational campaigns.</w:t>
      </w:r>
      <w:r/>
    </w:p>
    <w:p>
      <w:r/>
      <w:r>
        <w:t>The budget also included provisions for endometriosis care, highlighting the need for collaboration in women’s health. Andrew Jackson, an advocate for women's health and author, has emphasized the misogyny present in medical research and the resulting underfunding.</w:t>
      </w:r>
      <w:r/>
    </w:p>
    <w:p>
      <w:r/>
      <w:r>
        <w:t xml:space="preserve">Assistant Minister for Health, Ged Kearney, a former nurse, has been a strong advocate and ally in this shift. The budget promises better rebates for gynecologists, improved midwifery care, and increased access to essential medicines, including a new breast cancer treatment. </w:t>
      </w:r>
      <w:r/>
    </w:p>
    <w:p>
      <w:r/>
      <w:r>
        <w:t>Additionally, the budget recognizes the intersectionality of health issues faced by women, particularly those affecting Aboriginal communities and victims of family violence. The government has allocated $1.4 billion over 13 years to update the Medical Research Future Fund, intending to close knowledge gaps in women’s physiology and reproductive health.</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