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Doylestown Hospital Faces Safety Violations and Updates Policies Following State Inspections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Between September 2023 and February 2024, Doylestown Hospital underwent several state inspections that revealed multiple safety violations. The timeline of key events is as follows:</w:t>
      </w:r>
      <w:r/>
    </w:p>
    <w:p>
      <w:r/>
      <w:r>
        <w:t>On October 3, 2023, state inspectors confirmed the hospital's compliance during a follow-up inspection related to a July 2023 citation. The initial citation was for treating a patient in a newly renovated unit before receiving state approval for building and safety standards.</w:t>
      </w:r>
      <w:r/>
    </w:p>
    <w:p>
      <w:r/>
      <w:r>
        <w:t>On January 18, 2024, the hospital faced citations for transferring a patient without confirming stability and failing to document the patient’s vital signs before ambulance transport. Additionally, the hospital was cited for not promptly investigating a patient complaint received on November 12, 2023. Consequently, the hospital updated its transfer policy and grievance tracking system.</w:t>
      </w:r>
      <w:r/>
    </w:p>
    <w:p>
      <w:r/>
      <w:r>
        <w:t>On February 28, 2024, inspectors found that the hospital did not properly document that a patient leaving against medical advice had been advised to stay. The staff were reminded of the requirement to ask such patients to sign an acknowledgment form and to note if patients refuse. The hospital has committed to reviewing patient records to ensure compliance.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