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Reader Shares Complicated Marital History, Lingering Emotional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Annalisa Barbieri received a letter from a reader detailing a complicated marital history and lingering emotional challenges. The reader married her first husband at 18 after meeting him in high school. The initial decade of their marriage was fraught with familial crises, leading to a temporary separation. Despite reuniting and changing their approach to their relationship, the reader endured many of her husband's infidelities without bearing children, as he did not wish to become a father.</w:t>
      </w:r>
      <w:r/>
    </w:p>
    <w:p>
      <w:r/>
      <w:r>
        <w:t>Ultimately, an affair led to their divorce after 25 years. Her ex-husband cited her worthiness for better treatment before leaving. Subsequently, the reader remarried 13 years later and has been in this second marriage for 23 years. However, she describes her current husband as emotionally distant, contrasting her own emotional overflow.</w:t>
      </w:r>
      <w:r/>
    </w:p>
    <w:p>
      <w:r/>
      <w:r>
        <w:t>The reader continues to suffer from nightmares related to her first husband's betrayal, despite ongoing efforts, including participation in a program for adult children of alcoholics and conscious work on acceptance and positive action. She seeks to understand why she cannot release the hold of past traumas.</w:t>
      </w:r>
      <w:r/>
    </w:p>
    <w:p>
      <w:r/>
      <w:r>
        <w:t>Barbieri consulted UKCP-accredited psychotherapist Noel Bell, who suggested that unresolved wounds, possibly dating back to childhood experiences with alcoholic parents, contribute to her current struggles. Bell emphasized the importance of addressing these early emotional scars and the potential benefits of therapy focused on confronting unresolved anger and grief.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