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Sewage Spills in Britain Highlight Industry's Cost Concerns and Environmental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last year, numerous beauty spots across Britain, including Cumbria, the Cotswolds, Cornwall, and Sussex, have experienced significant sewage spills, impacting residents and the environment. Data analysis reveals that water companies frequently opt not to upgrade their infrastructure due to cost concerns. Specifically, untreated sewage was discharged into rivers and seas for nearly 375,000 hours last year from 280 sites deemed not cost-effective to upgrade.</w:t>
      </w:r>
      <w:r/>
    </w:p>
    <w:p>
      <w:r/>
      <w:r>
        <w:t>At Lake Windermere, a fault led to millions of liters of raw sewage being illegally pumped into the lake. The Environment Agency mandates that if a storm overflow spills more than 60 times annually, an investigation is triggered. However, 48 percent of the 582 problematic sites had no improvement due to the cost-benefit analyses defined by the industry.</w:t>
      </w:r>
      <w:r/>
    </w:p>
    <w:p>
      <w:r/>
      <w:r>
        <w:t>Water UK, representing the water companies, asserts that all operations follow Environment Agency guidance. The companies plan to invest in upgrades, aiming to meet new standards by 2050. Yorkshire Water, for instance, has committed to addressing all overflows, with ongoing and proposed investments aimed at reducing discharges.</w:t>
      </w:r>
      <w:r/>
    </w:p>
    <w:p>
      <w:r/>
      <w:r>
        <w:t>The situation highlights the systemic issues within the water industry, focusing on profitability over infrastructure improvements. Consequently, severe environmental and public health concerns persist, prompting calls for more stringent oversight and accountability.</w:t>
      </w:r>
      <w:r/>
    </w:p>
    <w:p>
      <w:r/>
      <w:r>
        <w:t>Criticism also extends to the performance of water companies like United Utilities and Northumbrian Water, which cited cost concerns for not addressing major leaks and discharge sites. To address these persistent challenges, increased investment and government regulation are deemed essential.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