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Infected Blood Inquiry Findings Unveiled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Infected Blood Inquiry Report Published</w:t>
      </w:r>
      <w:r/>
    </w:p>
    <w:p>
      <w:r/>
      <w:r>
        <w:t>On Monday, the Infected Blood Inquiry released its findings, with chairman Sir Brian Langstaff labeling the scandal as a "calamity" that saw over 30,000 individuals infected with contaminated blood from the 1970s to the 1990s. The report revealed deliberate cover-ups and knowingly exposing patients to significant risks. Gill Fyffe from Perthshire, who contracted Hepatitis C from a 1988 blood transfusion, expressed mixed emotions upon the report's release, calling it a day she thought she'd never see.</w:t>
      </w:r>
      <w:r/>
    </w:p>
    <w:p>
      <w:pPr>
        <w:pStyle w:val="Heading3"/>
      </w:pPr>
      <w:r>
        <w:t>Woman Killed by Registered XL Bully Dogs in London</w:t>
      </w:r>
      <w:r/>
    </w:p>
    <w:p>
      <w:r/>
      <w:r>
        <w:t>Angeline Mahal, a woman in her 50s, was fatally attacked by her two registered XL Bully dogs at her home in Hornchurch, East London on Monday. Armed police were dispatched, and despite their efforts and those of medical personnel, Mahal was pronounced dead at the scene. Her family is receiving support from the authorities. This incident marks the first fatal attack involving XL Bullies under new regulations requiring these dogs to be registered, muzzled, and kept on a lead in public. Neighbors and the local MP expressed shock and concern following the tragic event.</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