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Middleton excited about £45.5 billion boost to UK economy from family-friendly practices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Princess of Wales, Kate Middleton, has expressed her enthusiasm for the new report released by The Royal Foundation Business Taskforce for Early Childhood. The report, launched on May 21, 2024, suggests that the UK economy could see an annual boost of £45.5 billion if businesses adopt more family-friendly working practices. This update marks Kate's first major involvement with her early years project since beginning her cancer treatment.</w:t>
      </w:r>
      <w:r/>
    </w:p>
    <w:p>
      <w:r/>
      <w:r>
        <w:t>The report underscores the economic benefits of investing in early childhood development and proposes several measures, such as enhancing social and emotional skills in children, supporting parents’ return to the workforce, and reducing public spending on the consequences of adverse childhood experiences. The taskforce includes CEOs from prominent companies like IKEA, NatWest Group, and Deloitte.</w:t>
      </w:r>
      <w:r/>
    </w:p>
    <w:p>
      <w:r/>
      <w:r>
        <w:t>Despite undergoing chemotherapy and having undergone abdominal surgery earlier this year, Kate remains closely involved with her project and has been kept up to date from her home. A spokesperson emphasized that while this report does not signify her return to public duties, early childhood remains a critical focus for her.</w:t>
      </w:r>
      <w:r/>
    </w:p>
    <w:p>
      <w:r/>
      <w:r>
        <w:t>In other royal news, King Charles and Queen Camilla participated in the Chelsea Flower Show, where they received playful nicknames from children, highlighting the King's environmental work and Queen Camilla's support for beekeeping. Meanwhile, Prince Harry and Meghan Markle celebrated their sixth wedding anniversary in California and Prince Harry will miss an upcoming wedding in favour of other engagements.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