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Carlo Acutis on Path to Sainthood as Vatican Recognises Second Miracle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Carlo Acutis: First Millennial Saint</w:t>
      </w:r>
      <w:r/>
    </w:p>
    <w:p>
      <w:r/>
      <w:r>
        <w:t>Pope Francis has acknowledged a second miracle attributed to Carlo Acutis, setting the stage for the Italian teenager to become the Catholic Church's first millennial saint. Born in London on May 3, 1991, to Italian parents, Carlo moved to Milan during his childhood. He passed away from leukemia in 2006 at the age of 15. Known as the patron saint of the internet, Carlo used his self-taught computer skills to promote his Catholic faith.</w:t>
      </w:r>
      <w:r/>
    </w:p>
    <w:p>
      <w:r/>
      <w:r>
        <w:t>Carlo's sainthood process commenced in 2020 following the Diocese of Assisi's petition. That year, Pope Francis beatified Carlo after crediting him with healing a Brazilian boy with a malformed pancreas. The second miracle, now recognized by the Vatican, involves the recovery of Valeria Valverde, a Costa Rican university student with severe head trauma. After Valeria's mother prayed at Carlo's tomb in Assisi, Valeria began showing rapid improvement and recovered fully.</w:t>
      </w:r>
      <w:r/>
    </w:p>
    <w:p>
      <w:r/>
      <w:r>
        <w:t>The formal canonization date has yet to be announced, but Pope Francis plans to convene cardinals to discuss Carlo's sainthood.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