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Influence of Ozempic in American Society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Impact of Ozempic on US Society</w:t>
      </w:r>
      <w:r/>
    </w:p>
    <w:p>
      <w:r/>
      <w:r>
        <w:t>The weight-loss drug Ozempic has gained significant traction in the United States, with nearly 2% of the population currently using it. The medication, produced by a major pharmaceutical company, has led to substantial financial success for its manufacturers. However, its high cost poses accessibility issues for those without health insurance, potentially exacerbating social inequalities.</w:t>
      </w:r>
      <w:r/>
    </w:p>
    <w:p>
      <w:r/>
      <w:r>
        <w:t>George Chidi, a politics and democracy reporter for Guardian US, shared his personal experience with Ozempic during a European holiday. Despite being an enthusiastic eater, he noticed a marked reduction in his food intake, highlighting the drug's effectiveness.</w:t>
      </w:r>
      <w:r/>
    </w:p>
    <w:p>
      <w:r/>
      <w:r>
        <w:t xml:space="preserve">The implications of widespread Ozempic use extend beyond personal health. Decreased profits for fast-food companies and potential medical applications for conditions like kidney disease and dementia are notable consequences. The drug's impact on both public health and economic sectors is profound, with long-term effects still unfolding. </w:t>
      </w:r>
      <w:r/>
    </w:p>
    <w:p>
      <w:r/>
      <w:r>
        <w:t>However, Chidi points out that the financial barriers to accessing Ozempic could worsen existing social inequalities, even as the overall health of the population might benefit. The ongoing discourse around this drug includes both its promise and the significant challenges associated with its equitable distribution.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