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Injury Statistics Show Higher Rates Among Men, Australian Government Increases Aid for Ukraine, and More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Injury Statistics and Government Aid Updates in Australia</w:t>
      </w:r>
    </w:p>
    <w:p>
      <w:pPr>
        <w:pStyle w:val="Heading4"/>
      </w:pPr>
      <w:r>
        <w:t>Higher Injury Rates Among Men</w:t>
      </w:r>
    </w:p>
    <w:p>
      <w:r>
        <w:t xml:space="preserve">A report by the Australian Institute of Health and Welfare (AIHW) revealed that injury-related hospitalisations and deaths are more common in men than women. For injuries, for every 100 hospitalisations among women, there are 118 for men. Men are also three times more likely to be hospitalised due to contact with inanimate objects and twice as likely due to transport accidents. The leading causes of injury-related deaths in men included incidents with objects, drowning, transport accidents, and suicide. </w:t>
      </w:r>
    </w:p>
    <w:p>
      <w:pPr>
        <w:pStyle w:val="Heading4"/>
      </w:pPr>
      <w:r>
        <w:t>Australian Government's Support for Ukraine</w:t>
      </w:r>
    </w:p>
    <w:p>
      <w:r>
        <w:t>The Albanese government announced an additional $31 million aid package for Ukraine, including $20 million for the Ukraine Energy Support Fund and $10 million for humanitarian needs facilitated by the United Nations Office for Coordination of Humanitarian Affairs. Additionally, $1 million is allocated for disability services and rehabilitation. This increases Australia's total assistance to Ukraine to over $1 billion.</w:t>
      </w:r>
    </w:p>
    <w:p>
      <w:pPr>
        <w:pStyle w:val="Heading4"/>
      </w:pPr>
      <w:r>
        <w:t>Rising Uptake of No-Interest Loans</w:t>
      </w:r>
    </w:p>
    <w:p>
      <w:r>
        <w:t>The uptake of no-interest loans (NILs) in Australia has risen by 19% in the past year. Jointly financed by NAB and Good Shepherd, these loans aid low-income earners in purchasing essentials like appliances and covering medical bills. Loans amounting to $68 million were issued from May 2023 to April 2024, with many users being between the ages of 35 and 39. The scheme aims to provide an ethical alternative to predatory lending practices.</w:t>
      </w:r>
    </w:p>
    <w:p>
      <w:pPr>
        <w:pStyle w:val="Heading4"/>
      </w:pPr>
      <w:r>
        <w:t>New 'Green Loans' for Households</w:t>
      </w:r>
    </w:p>
    <w:p>
      <w:r>
        <w:t>The Albanese government introduced the first round of green loans worth $60 million through the Clean Energy Finance Corporation and Plenti. Starting June 5, these loans aim to make energy-efficient upgrades like solar panels, home batteries, and electric vehicle chargers more affordable. The initiative is part of a $1 billion federal budget commitment to help households reduce energy bills.</w:t>
      </w:r>
    </w:p>
    <w:p>
      <w:pPr>
        <w:pStyle w:val="Heading4"/>
      </w:pPr>
      <w:r>
        <w:t>Millennials Moving to Regional Areas</w:t>
      </w:r>
    </w:p>
    <w:p>
      <w:r>
        <w:t>Millennials are increasingly moving from capital cities like Sydney to regional areas due to high housing and living costs. Popular destinations include Queensland's Sunshine and Gold Coasts, Lake Macquarie, Greater Geelong, and Moorabool. This sustained trend, which began during COVID-19 restrictions, highlights a significant shift in living preferences. The Regional Australia Institute's data shows that younger demographics are relocating within a few years of moving to the commuter belts on the outskirts of major cities.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