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Study shows Birmingham motorists at higher crash risk than UK average, grandad saves on train fares, Santander data breach impacts millions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Motorists in Birmingham are 24% more likely to be involved in a crash compared to the UK average, according to a study by credit and business information firm CRIF. The report ranked Oldham as the highest at 35%, followed by Birmingham, Luton, Bradford, and London. Conversely, Shrewsbury, 43 miles from Birmingham, is among the safest, with a crash probability 38% lower than the UK average.</w:t>
      </w:r>
    </w:p>
    <w:p>
      <w:r>
        <w:t>In other news, 91-year-old TikTok star Grandad Joe, who boasts 7.1 million followers, shared how he saved approximately 23% on train tickets for his birthday trip from Birmingham using off-peak fares on West Midlands Railway. His video highlighted the benefits of off-peak travel.</w:t>
      </w:r>
    </w:p>
    <w:p>
      <w:r>
        <w:t>Meanwhile, Santander experienced a significant data breach, impacting millions of employees and customers globally. Hackers stole information on bank accounts, credit card numbers, and HR data. The bank has since implemented additional security measures and is in contact with affected individuals.</w:t>
      </w:r>
    </w:p>
    <w:p>
      <w:r>
        <w:t>Additionally, Sara Costantini of CRIF calls for fairer insurance pricing based on granular data due to rising premiums, while Northumbria Police and emergency services dealt with a serious A1 collision in Northumberland, leading to road closures and one person being hospitalized.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