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A&amp;E services under pressure from social care demands and cosmetic surgery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Accident and emergency (A&amp;E) departments across Scotland are facing significant pressure, exacerbated by increasing demands from social care issues, which contribute to prolonged patient stays—referred to as bed blocking. The Daily Record highlights that individuals who are ready to leave A&amp;E are often unable to do so due to social care constraints, creating a backlog that further strains the already overburdened healthcare system.</w:t>
      </w:r>
    </w:p>
    <w:p>
      <w:r>
        <w:t>Recent reports indicate that Scotland's reputation as the “Wild West” for cosmetic surgery is intensifying the strain on A&amp;E services. Patients who receive poorly executed cosmetic treatments, particularly from unregulated practitioners, are finding themselves in need of emergency care to rectify botched procedures. These patients often require urgent medical attention to address complications arising from inadequate or inappropriate treatments. This situation underscores the pressing need for reform in the cosmetic treatment industry, suggesting that current regulations require significant tightening to ensure patient safety.</w:t>
      </w:r>
    </w:p>
    <w:p>
      <w:r>
        <w:t>Health Secretary Neil Gray's potential intervention has been suggested as a crucial step forward. Advocates for reform argue that a summit should be convened, bringing together leading experts to evaluate and propose new legislation aimed at safeguarding patients and alleviating the financial burden on the NHS. The assertion is made that taxpayers should not bear the costs associated with fixable errors made by private sector practitioners, as the NHS continues to grapple with considerable financial demands while attempting to provide care for patients in need.</w:t>
      </w:r>
    </w:p>
    <w:p>
      <w:r>
        <w:t>In a related matter, tension is rising among constituents due to recent financial policy changes and increases affecting the cost of living. Council tax rates have soared, pushing many residents into higher income tax brackets. Alongside these increases, energy bills are also on the rise, compounding financial strain for households and businesses alike. Adding to the discontent, reports have surfaced regarding a financial hike for ministers, with salaries increasing by nearly £20,000. Critics of this decision question the timing and appropriateness of such raises during a period of heightened financial distress for ordinary Scots, suggesting that this represents a disconnect between the government and the public it serves.</w:t>
      </w:r>
    </w:p>
    <w:p>
      <w:r>
        <w:t>While differing opinions about the implications of a 15-year ministerial pay freeze exist, many believe the recent pay increase is ill-timed and should be reconsidered. The sentiment is clear: ordinary citizens have been grappling with inflation-based challenges in their own financial situations, and the consideration for a substantial pay increase appears out of touch amidst the ongoing economic hardships faced by the populace.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