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insecurity and benefit cuts deepen mental health crisis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Financial insecurity and the UK government’s recent decision to reduce disability benefits have sparked deep concerns about the broader societal and economic consequences, as revealed in a recent analysis published by Social Europe. The article highlights the lived experience of financial precarity and its profound mental health impacts, underscoring the complex relationship between poverty, mental illness, and social welfare policy.</w:t>
      </w:r>
      <w:r/>
    </w:p>
    <w:p>
      <w:r/>
      <w:r>
        <w:t>The author reflects on personal past experiences of living under financial strain, stating: “I have gone without medical treatment because I couldn’t afford it, shopped for groceries with a calculator checking every item against a tiny budget, juggled the unpaid bills and the increasingly threatening demands for payment.” This testimony serves as a stark illustration of the psychological toll poverty exerts on individuals.</w:t>
      </w:r>
      <w:r/>
    </w:p>
    <w:p>
      <w:r/>
      <w:r>
        <w:t>Research led by the University of York’s Cost of Living Research Group has reinforced these concerns, documenting how even short-term financial hardships trigger increased anxiety and depression. One poignant account from their qualitative studies describes the physical and emotional strain: “Freezing, being hungry, no breaks, no let up ever, takes a huge toll on your body…I’m so afraid of what’s coming…”</w:t>
      </w:r>
      <w:r/>
    </w:p>
    <w:p>
      <w:r/>
      <w:r>
        <w:t>Amidst these realities, the UK Labour government, elected on a manifesto promising to address long-term challenges, has introduced cuts to disability benefits. The rationale cited involves claims that some recipients are work-shy or falsely classified as mentally ill, implying a need to restrict benefits to promote economic productivity. However, evidence contradicts these assumptions. The author points out that people claiming mental health-related benefits face a disproportionately high rate of erroneous denials, approximately seven out of ten decisions, and describes the application process itself as “degrading and stigmatising.”</w:t>
      </w:r>
      <w:r/>
    </w:p>
    <w:p>
      <w:r/>
      <w:r>
        <w:t>Beyond matters of fairness and compassion, the article argues that cutting disability benefits is economically counterproductive. It references research indicating that investing in mental health prevention yields substantial savings by reducing long-term societal costs. For example, a report named Health Equity North estimated that mental health conditions arising in children across northern England following the Covid-19 pandemic could amount to £13.2 billion in lost productivity over their lifetimes.</w:t>
      </w:r>
      <w:r/>
    </w:p>
    <w:p>
      <w:r/>
      <w:r>
        <w:t>The broader financial implications extend beyond productivity losses. Effective investment in prevention would reduce expenditures on hospital care, medications, therapies, and treatment of physical ailments exacerbated by poor mental health. It would also alleviate pressures on housing, social services, substance misuse programmes, and the criminal justice system, where a significant proportion of individuals suffer from mental illness. Furthermore, such investments could diminish absenteeism and presenteeism in the workforce.</w:t>
      </w:r>
      <w:r/>
    </w:p>
    <w:p>
      <w:r/>
      <w:r>
        <w:t>The article highlights policy proposals developed by Dr Katie Pybus, which call for a comprehensive, evidence-based approach to welfare reforms focusing on poverty reduction and mental health promotion. Measures include incorporating lived experience into policymaking, adopting trauma-informed perspectives, and implementing holistic support models like the one pioneered in Trieste, Italy, which provides integrated housing, income support, and leisure services.</w:t>
      </w:r>
      <w:r/>
    </w:p>
    <w:p>
      <w:r/>
      <w:r>
        <w:t>Central to these proposals is the introduction of Universal Basic Income (UBI) to secure a minimum standard of living for all citizens. Modelling suggests that a UBI could significantly reduce the incidence of anxiety and depression among young adults, potentially saving £4.2 billion over two decades—almost matching the £5 billion targeted by current benefit cuts. Expanded to the wider adult population, related health and social services savings could reach over £1 billion annually.</w:t>
      </w:r>
      <w:r/>
    </w:p>
    <w:p>
      <w:r/>
      <w:r>
        <w:t>The author questions why current government policy appears to ignore this body of evidence. It is suggested that political considerations, including the short electoral cycle and reluctance to pursue taxation or borrowing measures, hinder long-term investment in social welfare. A government minister’s comment rejecting the notion that “you can tax and borrow your way out of the need to reform the state” was met with the counterpoint that a modest tax on ultra-wealthy individuals could generate substantial revenues—specifically citing a 2% tax on those with assets exceeding £10 million, which could raise £24 billion yearly.</w:t>
      </w:r>
      <w:r/>
    </w:p>
    <w:p>
      <w:r/>
      <w:r>
        <w:t>Currently, approximately 3.6 million individuals stand to be affected by the disability benefit cuts, raising concerns about increased mental health crises, including heightened stress, deteriorating symptoms, and elevated suicide risk.</w:t>
      </w:r>
      <w:r/>
    </w:p>
    <w:p>
      <w:r/>
      <w:r>
        <w:t>This comprehensive analysis elucidates the gravity of the policy decisions at hand and their potential human and economic costs. It advocates for a more informed, evidence-driven approach to social welfare reform that acknowledges the critical role of financial security in mental health and overall societal wellbeing.</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