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Pharmacological advances and trial innovations transform obesity treatment outlook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Obesity is a growing global health concern with rising prevalence rates that are expected to affect one billion people by 2030. The market for obesity treatments is projected to reach over $173.5 billion by 2031, highlighting the increasing demand for effective interventions. Recent developments in pharmacological therapies, particularly glucagon-like peptide-1 (GLP-1) receptor agonists, are transforming the obesity treatment landscape, offering new hope amid long-standing challenges.</w:t>
      </w:r>
      <w:r/>
    </w:p>
    <w:p>
      <w:r/>
      <w:r>
        <w:t>Traditionally, obesity management has largely relied on lifestyle modifications including diet, exercise, and behavioural therapy. However, these approaches often lack sustained success as many individuals regain weight within five years. Bariatric surgery, while effective, remains an invasive option suitable only for a limited number of patients. Earlier drug treatments faced significant setbacks, such as cardiovascular complications linked with fenfluramine in the 1990s, which raised awareness about the safety risks of anti-obesity medications.</w:t>
      </w:r>
      <w:r/>
    </w:p>
    <w:p>
      <w:r/>
      <w:r>
        <w:t>The arrival of GLP-1 receptor agonists such as semaglutide and tirzepatide marks a notable advancement. These drugs not only support weight loss by stimulating insulin production, reducing appetite, and slowing gastric emptying but also address comorbid conditions including cardiovascular disease and metabolic dysfunction-associated steatotic liver disease (MASLD). An industry survey conducted by ICON, a global clinical research organisation, found that a majority of obesity drug development professionals are optimistic about their organisations’ pipelines for new obesity treatments, signalling positive momentum in this area.</w:t>
      </w:r>
      <w:r/>
    </w:p>
    <w:p>
      <w:r/>
      <w:r>
        <w:t>Obesity rarely presents as an isolated condition and frequently coexists with diabetes, cardiovascular issues, and mental health disorders. Reflecting this complexity, 64% of survey respondents believe that combination therapies targeting multiple indications represent the future of obesity treatment. Research is increasingly exploring obesity alongside other metabolic, cardiovascular, and diabetic conditions to better address the multifaceted nature of the disease.</w:t>
      </w:r>
      <w:r/>
    </w:p>
    <w:p>
      <w:r/>
      <w:r>
        <w:t>Yet, the development of obesity drugs faces several challenges. Survey participants identified the lack of obesity-specific clinical trial designs (39%), the requirement for long-term follow-up (44%), and difficulties in recruiting diverse patient populations (38%) as major hurdles.</w:t>
      </w:r>
      <w:r/>
    </w:p>
    <w:p>
      <w:r/>
      <w:r>
        <w:t>To overcome these, the industry is adopting innovative trial designs such as master protocols and basket trials, which allow therapies to be evaluated across related conditions more efficiently. Long-term follow-up data, which demonstrate impacts on critical health outcomes like heart disease, are essential. For example, Novo Nordisk’s five-year SELECT trial proved that its drug Wegovy (semaglutide) significantly reduced major cardiovascular events, setting a benchmark for future therapies. To manage the complexity and cost of such studies, patient-centric designs incorporating hybrid and remote trial components, alongside technologies like health data tokenisation from electronic health records, are being utilised.</w:t>
      </w:r>
      <w:r/>
    </w:p>
    <w:p>
      <w:r/>
      <w:r>
        <w:t>Diversity in clinical trial recruitment remains an ongoing concern. Women currently make up approximately 75% of participants despite similar obesity rates across genders, and racial and ethnic minorities are underrepresented. Targeted outreach, demographic-specific recruitment strategies, and digital health technologies such as wearables and apps are being deployed to improve engagement, retention, and compliance among diverse populations. Survey respondents believe that reducing patient burden and providing monetary incentives could significantly enhance recruitment diversity.</w:t>
      </w:r>
      <w:r/>
    </w:p>
    <w:p>
      <w:r/>
      <w:r>
        <w:t>Looking ahead, with obesity rates climbing swiftly, the demand for effective, multi-indication drug therapies combined with innovative clinical methodologies continues to grow. Over half of the professionals surveyed by ICON conveyed confidence in the future of their organisations’ obesity treatment pipelines. This progress signals a shift towards integrated, personalised, and patient-centric approaches aimed at managing obesity comprehensively and sustainably.</w:t>
      </w:r>
      <w:r/>
    </w:p>
    <w:p>
      <w:r/>
      <w:r>
        <w:t>By focusing on combination therapies that target obesity alongside its common associated conditions, and by addressing issues like patient diversity and long-term trial success, the pharmaceutical industry is advancing the development of more effective treatments. These efforts are poised to improve health outcomes on a global scale and reduce the broader societal impacts posed by this chronic and complex disease.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https://www.pharmaceutical-technology.com/analyst-comment/obesity-market-173-5-billion-2031/</w:t>
        </w:r>
      </w:hyperlink>
      <w:r>
        <w:t xml:space="preserve"> - This article discusses projections for the obesity treatment market, estimating it will exceed $173.5 billion by 2031, aligning with the article's claim about the market's expected growth.</w:t>
      </w:r>
      <w:r/>
    </w:p>
    <w:p>
      <w:pPr>
        <w:pStyle w:val="ListNumber"/>
        <w:spacing w:line="240" w:lineRule="auto"/>
        <w:ind w:left="720"/>
      </w:pPr>
      <w:r/>
      <w:hyperlink r:id="rId11">
        <w:r>
          <w:rPr>
            <w:color w:val="0000EE"/>
            <w:u w:val="single"/>
          </w:rPr>
          <w:t>https://www.reuters.com/business/healthcare-pharmaceuticals/weight-loss-market-see-16-new-drugs-by-2029-report-estimates-2024-09-10/</w:t>
        </w:r>
      </w:hyperlink>
      <w:r>
        <w:t xml:space="preserve"> - This report highlights the anticipated introduction of 16 new weight-loss drugs by 2029, indicating a significant expansion in the obesity treatment market, supporting the article's assertion of increasing demand for effective interventions.</w:t>
      </w:r>
      <w:r/>
    </w:p>
    <w:p>
      <w:pPr>
        <w:pStyle w:val="ListNumber"/>
        <w:spacing w:line="240" w:lineRule="auto"/>
        <w:ind w:left="720"/>
      </w:pPr>
      <w:r/>
      <w:hyperlink r:id="rId12">
        <w:r>
          <w:rPr>
            <w:color w:val="0000EE"/>
            <w:u w:val="single"/>
          </w:rPr>
          <w:t>https://www.ft.com/content/340b6cba-acb5-4c61-ae0c-65e559aeb8f3</w:t>
        </w:r>
      </w:hyperlink>
      <w:r>
        <w:t xml:space="preserve"> - This article addresses the potential for an obesity drug bubble in the context of GLP-1 drugs, mainly produced by Eli Lilly and Novo Nordisk, corroborating the article's mention of recent developments in pharmacological therapies.</w:t>
      </w:r>
      <w:r/>
    </w:p>
    <w:p>
      <w:pPr>
        <w:pStyle w:val="ListNumber"/>
        <w:spacing w:line="240" w:lineRule="auto"/>
        <w:ind w:left="720"/>
      </w:pPr>
      <w:r/>
      <w:hyperlink r:id="rId13">
        <w:r>
          <w:rPr>
            <w:color w:val="0000EE"/>
            <w:u w:val="single"/>
          </w:rPr>
          <w:t>https://www.reuters.com/breakingviews/novo-nordisk-obesity-feast-no-longer-free-lunch-2024-07-18/</w:t>
        </w:r>
      </w:hyperlink>
      <w:r>
        <w:t xml:space="preserve"> - This piece discusses the challenges faced by Novo Nordisk in the obesity drug market, including competition and patent expirations, supporting the article's point about the complexities in developing obesity drugs.</w:t>
      </w:r>
      <w:r/>
    </w:p>
    <w:p>
      <w:pPr>
        <w:pStyle w:val="ListNumber"/>
        <w:spacing w:line="240" w:lineRule="auto"/>
        <w:ind w:left="720"/>
      </w:pPr>
      <w:r/>
      <w:hyperlink r:id="rId14">
        <w:r>
          <w:rPr>
            <w:color w:val="0000EE"/>
            <w:u w:val="single"/>
          </w:rPr>
          <w:t>https://www.grandviewresearch.com/press-release/global-obesity-treatment-market</w:t>
        </w:r>
      </w:hyperlink>
      <w:r>
        <w:t xml:space="preserve"> - This report projects the global obesity treatment market to reach $60.53 billion by 2030, highlighting the increasing demand for effective interventions, as mentioned in the article.</w:t>
      </w:r>
      <w:r/>
    </w:p>
    <w:p>
      <w:pPr>
        <w:pStyle w:val="ListNumber"/>
        <w:spacing w:line="240" w:lineRule="auto"/>
        <w:ind w:left="720"/>
      </w:pPr>
      <w:r/>
      <w:hyperlink r:id="rId15">
        <w:r>
          <w:rPr>
            <w:color w:val="0000EE"/>
            <w:u w:val="single"/>
          </w:rPr>
          <w:t>https://www.ft.com/content/8370db31-e9d8-4aa8-ae00-8c1a716b4b6c</w:t>
        </w:r>
      </w:hyperlink>
      <w:r>
        <w:t xml:space="preserve"> - This article discusses the debate over prescribing weight-loss drugs to children, reflecting the article's mention of the complexities in obesity treatment and the need for comprehensive approaches.</w:t>
      </w:r>
      <w:r/>
    </w:p>
    <w:p>
      <w:pPr>
        <w:pStyle w:val="ListNumber"/>
        <w:spacing w:line="240" w:lineRule="auto"/>
        <w:ind w:left="720"/>
      </w:pPr>
      <w:r/>
      <w:hyperlink r:id="rId16">
        <w:r>
          <w:rPr>
            <w:color w:val="0000EE"/>
            <w:u w:val="single"/>
          </w:rPr>
          <w:t>https://news.google.com/rss/articles/CBMivwFBVV95cUxObUctZzBvUFd2TC1iQ1o1NTRkb29US3pKS0xoSUVBUzZaTDMxYzI3b0xnSU9JME1Ed1JlNkFZN2NYRUMzakdibmw5Ny1CVmdFY2JHT3lXQk5KYVlPNEZQdS1DUVd1MGY2NzhlamMtMmNXZk5nLUcyT0FiRG54VDJhWWpkNnoyQTBvZ3pXMEw4SEQxZTdDMXE3UUxTWlU2MndHQURxX2NMR0gzeTd0ZS1jZHRtWFZQOVFnUFA4akg1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harmaceutical-technology.com/analyst-comment/obesity-market-173-5-billion-2031/" TargetMode="External"/><Relationship Id="rId11" Type="http://schemas.openxmlformats.org/officeDocument/2006/relationships/hyperlink" Target="https://www.reuters.com/business/healthcare-pharmaceuticals/weight-loss-market-see-16-new-drugs-by-2029-report-estimates-2024-09-10/" TargetMode="External"/><Relationship Id="rId12" Type="http://schemas.openxmlformats.org/officeDocument/2006/relationships/hyperlink" Target="https://www.ft.com/content/340b6cba-acb5-4c61-ae0c-65e559aeb8f3" TargetMode="External"/><Relationship Id="rId13" Type="http://schemas.openxmlformats.org/officeDocument/2006/relationships/hyperlink" Target="https://www.reuters.com/breakingviews/novo-nordisk-obesity-feast-no-longer-free-lunch-2024-07-18/" TargetMode="External"/><Relationship Id="rId14" Type="http://schemas.openxmlformats.org/officeDocument/2006/relationships/hyperlink" Target="https://www.grandviewresearch.com/press-release/global-obesity-treatment-market" TargetMode="External"/><Relationship Id="rId15" Type="http://schemas.openxmlformats.org/officeDocument/2006/relationships/hyperlink" Target="https://www.ft.com/content/8370db31-e9d8-4aa8-ae00-8c1a716b4b6c" TargetMode="External"/><Relationship Id="rId16" Type="http://schemas.openxmlformats.org/officeDocument/2006/relationships/hyperlink" Target="https://news.google.com/rss/articles/CBMivwFBVV95cUxObUctZzBvUFd2TC1iQ1o1NTRkb29US3pKS0xoSUVBUzZaTDMxYzI3b0xnSU9JME1Ed1JlNkFZN2NYRUMzakdibmw5Ny1CVmdFY2JHT3lXQk5KYVlPNEZQdS1DUVd1MGY2NzhlamMtMmNXZk5nLUcyT0FiRG54VDJhWWpkNnoyQTBvZ3pXMEw4SEQxZTdDMXE3UUxTWlU2MndHQURxX2NMR0gzeTd0ZS1jZHRtWFZQOVFnUFA4akg1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