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Interoperability and staffing reforms usher in a new era of patient safety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Interoperability between medical devices and healthcare records has emerged as a cornerstone of patient safety in 2025, reflecting a shift from isolated, device-specific functions toward integrated, system-wide solutions. Hospitals today often operate a variety of monitoring and diagnostic tools, including ventilators, EEGs, and lab systems, that traditionally function in silos. This fragmentation compromises the ability to synthesize real-time data critical for timely clinical intervention, potentially increasing risks to patients. In specialty areas such as neurology and respiratory care, unified platforms that aggregate data from disparate sources enable automated alerts and coordinated responses, accelerating diagnosis and treatment to improve outcomes.</w:t>
      </w:r>
      <w:r/>
    </w:p>
    <w:p>
      <w:r/>
      <w:r>
        <w:t>Industry experts underscore the importance of open-architecture platforms that facilitate communication between legacy systems and newer digital tools. Historically, proprietary software and device manufacturers’ reluctance to adopt open protocols have contributed to data silos. Moreover, many hospitals, particularly those with limited IT resources, struggle to implement the comprehensive infrastructure required for interoperability. Despite these barriers, the integration of electronic health records (EHRs), health information exchanges (HIEs), and pharmacy systems plays a critical role in reducing medical errors and enhancing care coordination. Features like Admission, Discharge, and Transfer (ADT) notifications and the Consolidated Clinical Document Architecture (CCDA) standard further support seamless information flow, enabling clinicians to make better-informed decisions.</w:t>
      </w:r>
      <w:r/>
    </w:p>
    <w:p>
      <w:r/>
      <w:r>
        <w:t>The benefits of interoperability are multifaceted, extending beyond patient safety to include increased operational efficiency, cost reduction, and patient empowerment through easier access to personal health data. By eliminating redundant tests and improving provider communication, hospitals can lower administrative costs and advance public health efforts through improved disease tracking and research. Studies recognize that interoperable systems help deliver personalized care by providing comprehensive, up-to-date patient information, contributing to more accurate diagnoses and tailored treatment plans.</w:t>
      </w:r>
      <w:r/>
    </w:p>
    <w:p>
      <w:r/>
      <w:r>
        <w:t>Alongside technological advancements, regulatory developments are reshaping patient safety frameworks. A notable example is California’s Senate Bill 596 (SB 596), enacted in October 2025, which tightens enforcement of nurse-to-patient staffing ratios by imposing daily penalties for non-compliance. This move signals a regulatory shift from issuing single citations to holding hospitals accountable continuously for maintaining safe staffing levels. The law mandates accurate, real-time staffing documentation and limits the extent to which hospitals can rely on informal staffing arrangements. Given existing nursing shortages and staffing stresses, SB 596 introduces significant financial and legal pressures, compelling hospitals to invest in robust staffing systems and training to promptly address shortages. Stakeholders, including healthcare workers’ unions, have welcomed the legislation as a vital step toward ensuring patient safety through adequate nurse staffing.</w:t>
      </w:r>
      <w:r/>
    </w:p>
    <w:p>
      <w:r/>
      <w:r>
        <w:t>Beyond urban healthcare centres, rural hospitals confront distinct challenges in patient safety, often operating with constrained resources and workforce shortages. Nevertheless, these institutions are pioneering innovative approaches to improve care quality and safety culture. As highlighted at the American Hospital Association’s Rural Patient Safety Convening, rural leaders are leveraging digital health records, telehealth services, and infection control dashboards to extend care capabilities. Unique initiatives such as simulation-based "Escape Room" exercises foster teamwork, reinforce vital decision-making processes, and help embed a culture of safety and reliability. While digital tools like AI-powered maternal health kits show promise, rural experts stress that technology should augment, not replace, leadership and human factors critical to resilient healthcare delivery.</w:t>
      </w:r>
      <w:r/>
    </w:p>
    <w:p>
      <w:r/>
      <w:r>
        <w:t>Looking forward, the convergence of interoperability, regulatory reform, and local leadership is set to reshape the safety landscape for the coming decade. Hospitals have a strategic choice: adhere to fragmented systems or embrace open, collaborative platforms that enable actionable insights from integrated data. The success of emerging trends such as predictive analytics, personalised care models, and remote patient monitoring will depend heavily on the foundational advances in interoperable infrastructure and staffing stability being established today. Ultimately, the future of safer healthcare lies in systems that integrate technology, human expertise, and regulatory oversight to enhance outcomes consistently—and equitably—across all settings.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(Azat TV), </w:t>
      </w:r>
      <w:hyperlink r:id="rId10">
        <w:r>
          <w:rPr>
            <w:color w:val="0000EE"/>
            <w:u w:val="single"/>
          </w:rPr>
          <w:t>[2]</w:t>
        </w:r>
      </w:hyperlink>
      <w:r>
        <w:t xml:space="preserve"> (NJII)</w:t>
      </w:r>
      <w:r/>
    </w:p>
    <w:p>
      <w:pPr>
        <w:pStyle w:val="ListBullet"/>
        <w:spacing w:line="240" w:lineRule="auto"/>
        <w:ind w:left="720"/>
      </w:pPr>
      <w:r/>
      <w:r>
        <w:t xml:space="preserve">Paragraph 2 – </w:t>
      </w:r>
      <w:hyperlink r:id="rId9">
        <w:r>
          <w:rPr>
            <w:color w:val="0000EE"/>
            <w:u w:val="single"/>
          </w:rPr>
          <w:t>[1]</w:t>
        </w:r>
      </w:hyperlink>
      <w:r>
        <w:t xml:space="preserve"> (Azat TV), </w:t>
      </w:r>
      <w:hyperlink r:id="rId10">
        <w:r>
          <w:rPr>
            <w:color w:val="0000EE"/>
            <w:u w:val="single"/>
          </w:rPr>
          <w:t>[2]</w:t>
        </w:r>
      </w:hyperlink>
      <w:r>
        <w:t xml:space="preserve"> (NJII), </w:t>
      </w:r>
      <w:hyperlink r:id="rId11">
        <w:r>
          <w:rPr>
            <w:color w:val="0000EE"/>
            <w:u w:val="single"/>
          </w:rPr>
          <w:t>[4]</w:t>
        </w:r>
      </w:hyperlink>
      <w:r>
        <w:t xml:space="preserve"> (Simbo AI)</w:t>
      </w:r>
      <w:r/>
    </w:p>
    <w:p>
      <w:pPr>
        <w:pStyle w:val="ListBullet"/>
        <w:spacing w:line="240" w:lineRule="auto"/>
        <w:ind w:left="720"/>
      </w:pPr>
      <w:r/>
      <w:r>
        <w:t xml:space="preserve">Paragraph 3 – </w:t>
      </w:r>
      <w:hyperlink r:id="rId12">
        <w:r>
          <w:rPr>
            <w:color w:val="0000EE"/>
            <w:u w:val="single"/>
          </w:rPr>
          <w:t>[3]</w:t>
        </w:r>
      </w:hyperlink>
      <w:r>
        <w:t xml:space="preserve"> (Net Health), </w:t>
      </w:r>
      <w:hyperlink r:id="rId11">
        <w:r>
          <w:rPr>
            <w:color w:val="0000EE"/>
            <w:u w:val="single"/>
          </w:rPr>
          <w:t>[4]</w:t>
        </w:r>
      </w:hyperlink>
      <w:r>
        <w:t xml:space="preserve"> (Simbo AI)</w:t>
      </w:r>
      <w:r/>
    </w:p>
    <w:p>
      <w:pPr>
        <w:pStyle w:val="ListBullet"/>
        <w:spacing w:line="240" w:lineRule="auto"/>
        <w:ind w:left="720"/>
      </w:pPr>
      <w:r/>
      <w:r>
        <w:t xml:space="preserve">Paragraph 4 – </w:t>
      </w:r>
      <w:hyperlink r:id="rId9">
        <w:r>
          <w:rPr>
            <w:color w:val="0000EE"/>
            <w:u w:val="single"/>
          </w:rPr>
          <w:t>[1]</w:t>
        </w:r>
      </w:hyperlink>
      <w:r>
        <w:t xml:space="preserve"> (Azat TV), </w:t>
      </w:r>
      <w:hyperlink r:id="rId13">
        <w:r>
          <w:rPr>
            <w:color w:val="0000EE"/>
            <w:u w:val="single"/>
          </w:rPr>
          <w:t>[6]</w:t>
        </w:r>
      </w:hyperlink>
      <w:r>
        <w:t xml:space="preserve"> (SEIU121RN)</w:t>
      </w:r>
      <w:r/>
    </w:p>
    <w:p>
      <w:pPr>
        <w:pStyle w:val="ListBullet"/>
        <w:spacing w:line="240" w:lineRule="auto"/>
        <w:ind w:left="720"/>
      </w:pPr>
      <w:r/>
      <w:r>
        <w:t xml:space="preserve">Paragraph 5 – </w:t>
      </w:r>
      <w:hyperlink r:id="rId9">
        <w:r>
          <w:rPr>
            <w:color w:val="0000EE"/>
            <w:u w:val="single"/>
          </w:rPr>
          <w:t>[1]</w:t>
        </w:r>
      </w:hyperlink>
      <w:r>
        <w:t xml:space="preserve"> (Azat TV), [AHA News] (Referenced in 1)</w:t>
      </w:r>
      <w:r/>
    </w:p>
    <w:p>
      <w:pPr>
        <w:pStyle w:val="ListBullet"/>
        <w:spacing w:line="240" w:lineRule="auto"/>
        <w:ind w:left="720"/>
      </w:pPr>
      <w:r/>
      <w:r>
        <w:t xml:space="preserve">Paragraph 6 – </w:t>
      </w:r>
      <w:hyperlink r:id="rId9">
        <w:r>
          <w:rPr>
            <w:color w:val="0000EE"/>
            <w:u w:val="single"/>
          </w:rPr>
          <w:t>[1]</w:t>
        </w:r>
      </w:hyperlink>
      <w:r>
        <w:t xml:space="preserve"> (Azat TV)</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https://azat.tv/en/patient-safety-2025-interoperability-staffing-rural-healthcare/</w:t>
        </w:r>
      </w:hyperlink>
      <w:r>
        <w:t xml:space="preserve"> - Please view link - unable to able to access data</w:t>
      </w:r>
      <w:r/>
    </w:p>
    <w:p>
      <w:pPr>
        <w:pStyle w:val="ListNumber"/>
        <w:spacing w:line="240" w:lineRule="auto"/>
        <w:ind w:left="720"/>
      </w:pPr>
      <w:r/>
      <w:hyperlink r:id="rId10">
        <w:r>
          <w:rPr>
            <w:color w:val="0000EE"/>
            <w:u w:val="single"/>
          </w:rPr>
          <w:t>https://www.njii.com/2025/03/how-interoperability-enhances-patient-safety/</w:t>
        </w:r>
      </w:hyperlink>
      <w:r>
        <w:t xml:space="preserve"> - This article discusses the critical role of interoperability in enhancing patient safety within healthcare systems. It highlights how seamless data exchange between electronic health records (EHRs), health information exchanges (HIEs), and pharmacy systems can prevent medical errors, facilitate timely diagnoses, and bridge gaps in care. The piece also emphasizes the importance of Admission, Discharge, and Transfer (ADT) event notifications and the Consolidated Clinical Document Architecture (CCDA) in improving care coordination and decision-making processes.</w:t>
      </w:r>
      <w:r/>
    </w:p>
    <w:p>
      <w:pPr>
        <w:pStyle w:val="ListNumber"/>
        <w:spacing w:line="240" w:lineRule="auto"/>
        <w:ind w:left="720"/>
      </w:pPr>
      <w:r/>
      <w:hyperlink r:id="rId12">
        <w:r>
          <w:rPr>
            <w:color w:val="0000EE"/>
            <w:u w:val="single"/>
          </w:rPr>
          <w:t>https://www.nethealth.com/blog/5-benefits-interoperability-in-healthcare/</w:t>
        </w:r>
      </w:hyperlink>
      <w:r>
        <w:t xml:space="preserve"> - This blog post outlines five key benefits of interoperability in healthcare, including increased efficiency, reduced costs, enhanced care coordination, patient empowerment, and advancements in public health and research. It explains how interoperability eliminates redundant procedures, improves communication among healthcare providers, and empowers patients by providing easier access to their medical records. The article also discusses how seamless data exchange contributes to better disease tracking and health policy decisions.</w:t>
      </w:r>
      <w:r/>
    </w:p>
    <w:p>
      <w:pPr>
        <w:pStyle w:val="ListNumber"/>
        <w:spacing w:line="240" w:lineRule="auto"/>
        <w:ind w:left="720"/>
      </w:pPr>
      <w:r/>
      <w:hyperlink r:id="rId11">
        <w:r>
          <w:rPr>
            <w:color w:val="0000EE"/>
            <w:u w:val="single"/>
          </w:rPr>
          <w:t>https://www.simbo.ai/blog/the-importance-of-interoperability-in-healthcare-for-improved-care-coordination-and-patient-outcomes-739973/</w:t>
        </w:r>
      </w:hyperlink>
      <w:r>
        <w:t xml:space="preserve"> - This blog post emphasizes the significance of interoperability in healthcare for improving care coordination and patient outcomes. It discusses how interoperable systems enable healthcare providers to access comprehensive patient information, leading to more accurate diagnoses and personalized treatments. The article also highlights the operational efficiency and financial impacts of interoperability, noting that it reduces redundant tests and administrative overhead, thereby lowering healthcare costs.</w:t>
      </w:r>
      <w:r/>
    </w:p>
    <w:p>
      <w:pPr>
        <w:pStyle w:val="ListNumber"/>
        <w:spacing w:line="240" w:lineRule="auto"/>
        <w:ind w:left="720"/>
      </w:pPr>
      <w:r/>
      <w:hyperlink r:id="rId15">
        <w:r>
          <w:rPr>
            <w:color w:val="0000EE"/>
            <w:u w:val="single"/>
          </w:rPr>
          <w:t>https://www.merkley.senate.gov/es/padilla-merkley-schakowsky-introduce-bicameral-bill-to-strengthen-nursing-staff-standards-improve-patient-care/</w:t>
        </w:r>
      </w:hyperlink>
      <w:r>
        <w:t xml:space="preserve"> - This press release announces the introduction of the Nurse Staffing Standards for Hospital Patient Safety and Quality Care Act by Senators Alex Padilla and Jeff Merkley, along with Representative Jan Schakowsky. The bill aims to improve hospital patient care and nurse retention by setting mandatory minimum registered nurse-to-patient staffing ratios. It addresses the lack of federal mandates regulating nurse-to-patient ratios in U.S. hospitals and highlights the negative impact of understaffing on patient outcomes.</w:t>
      </w:r>
      <w:r/>
    </w:p>
    <w:p>
      <w:pPr>
        <w:pStyle w:val="ListNumber"/>
        <w:spacing w:line="240" w:lineRule="auto"/>
        <w:ind w:left="720"/>
      </w:pPr>
      <w:r/>
      <w:hyperlink r:id="rId13">
        <w:r>
          <w:rPr>
            <w:color w:val="0000EE"/>
            <w:u w:val="single"/>
          </w:rPr>
          <w:t>https://seiu121rn.org/2025/10/14/governor-signs-sb-596-to-better-ensure-safe-hospital-staffing-improve-patient-care/</w:t>
        </w:r>
      </w:hyperlink>
      <w:r>
        <w:t xml:space="preserve"> - This article reports on the signing of Senate Bill 596 (SB 596) by Governor Newsom, which strengthens hospital care for patients by building on California’s nurse-to-patient ratio laws. The bill aims to ensure safe staffing levels in hospitals, thereby improving patient care. The article includes statements from SEIU California, expressing support for the legislation and emphasizing the importance of adequate staffing for patient safety.</w:t>
      </w:r>
      <w:r/>
    </w:p>
    <w:p>
      <w:pPr>
        <w:pStyle w:val="ListNumber"/>
        <w:spacing w:line="240" w:lineRule="auto"/>
        <w:ind w:left="720"/>
      </w:pPr>
      <w:r/>
      <w:hyperlink r:id="rId16">
        <w:r>
          <w:rPr>
            <w:color w:val="0000EE"/>
            <w:u w:val="single"/>
          </w:rPr>
          <w:t>https://arxiv.org/abs/2510.01780</w:t>
        </w:r>
      </w:hyperlink>
      <w:r>
        <w:t xml:space="preserve"> - This academic paper introduces a novel framework for secure and interoperable integration of heterogeneous medical data in federated digital health systems. The framework leverages the Model Context Protocol (MCP) as an interoperability layer for secure, cross-agent communication in multi-modal federated healthcare systems. It aims to address challenges in data fusion across distributed and resource-constrained environments, ensuring compliance with privacy regulations while improving diagnostic accuracy and reducing client dropout rates.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zat.tv/en/patient-safety-2025-interoperability-staffing-rural-healthcare/" TargetMode="External"/><Relationship Id="rId10" Type="http://schemas.openxmlformats.org/officeDocument/2006/relationships/hyperlink" Target="https://www.njii.com/2025/03/how-interoperability-enhances-patient-safety/" TargetMode="External"/><Relationship Id="rId11" Type="http://schemas.openxmlformats.org/officeDocument/2006/relationships/hyperlink" Target="https://www.simbo.ai/blog/the-importance-of-interoperability-in-healthcare-for-improved-care-coordination-and-patient-outcomes-739973/" TargetMode="External"/><Relationship Id="rId12" Type="http://schemas.openxmlformats.org/officeDocument/2006/relationships/hyperlink" Target="https://www.nethealth.com/blog/5-benefits-interoperability-in-healthcare/" TargetMode="External"/><Relationship Id="rId13" Type="http://schemas.openxmlformats.org/officeDocument/2006/relationships/hyperlink" Target="https://seiu121rn.org/2025/10/14/governor-signs-sb-596-to-better-ensure-safe-hospital-staffing-improve-patient-care/" TargetMode="External"/><Relationship Id="rId14" Type="http://schemas.openxmlformats.org/officeDocument/2006/relationships/hyperlink" Target="https://www.noahwire.com" TargetMode="External"/><Relationship Id="rId15" Type="http://schemas.openxmlformats.org/officeDocument/2006/relationships/hyperlink" Target="https://www.merkley.senate.gov/es/padilla-merkley-schakowsky-introduce-bicameral-bill-to-strengthen-nursing-staff-standards-improve-patient-care/" TargetMode="External"/><Relationship Id="rId16" Type="http://schemas.openxmlformats.org/officeDocument/2006/relationships/hyperlink" Target="https://arxiv.org/abs/2510.01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