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Strategy Moves by WTW After the Newfront Acquisition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insurance world are watching Willis Towers Watson as it folds Newfront tech into a long-game AI play; the plan is about growth, better advice and defensibility rather than quick cost cuts, and that shift matters to clients, brokers and competitors.</w:t>
      </w:r>
      <w:r/>
    </w:p>
    <w:p>
      <w:r/>
      <w:r>
        <w:t>Essential Takeaways</w:t>
      </w:r>
      <w:r/>
      <w:r/>
    </w:p>
    <w:p>
      <w:pPr>
        <w:pStyle w:val="ListBullet"/>
        <w:spacing w:line="240" w:lineRule="auto"/>
        <w:ind w:left="720"/>
      </w:pPr>
      <w:r/>
      <w:r>
        <w:rPr>
          <w:b/>
        </w:rPr>
        <w:t>Scale advantage:</w:t>
      </w:r>
      <w:r>
        <w:t xml:space="preserve"> WTW is leveraging proprietary data and global reach to deploy AI across advisory and broking functions, creating hard-to-copy barriers.</w:t>
      </w:r>
      <w:r/>
    </w:p>
    <w:p>
      <w:pPr>
        <w:pStyle w:val="ListBullet"/>
        <w:spacing w:line="240" w:lineRule="auto"/>
        <w:ind w:left="720"/>
      </w:pPr>
      <w:r/>
      <w:r>
        <w:rPr>
          <w:b/>
        </w:rPr>
        <w:t>Human + tech:</w:t>
      </w:r>
      <w:r>
        <w:t xml:space="preserve"> Management says clients want both technology and human expertise, so AI augments judgment and advocacy rather than replacing them.</w:t>
      </w:r>
      <w:r/>
    </w:p>
    <w:p>
      <w:pPr>
        <w:pStyle w:val="ListBullet"/>
        <w:spacing w:line="240" w:lineRule="auto"/>
        <w:ind w:left="720"/>
      </w:pPr>
      <w:r/>
      <w:r>
        <w:rPr>
          <w:b/>
        </w:rPr>
        <w:t>Early productivity wins:</w:t>
      </w:r>
      <w:r>
        <w:t xml:space="preserve"> Tools like Call Note Assist have processed over 1.6 million calls and cut post-call work by a third; endorsement processing sped up by 90%.</w:t>
      </w:r>
      <w:r/>
    </w:p>
    <w:p>
      <w:pPr>
        <w:pStyle w:val="ListBullet"/>
        <w:spacing w:line="240" w:lineRule="auto"/>
        <w:ind w:left="720"/>
      </w:pPr>
      <w:r/>
      <w:r>
        <w:rPr>
          <w:b/>
        </w:rPr>
        <w:t>Product rollout:</w:t>
      </w:r>
      <w:r>
        <w:t xml:space="preserve"> Neuron and Rewards AI are live in pockets, cyber, UK property and compensation benchmarking, with broader deployment planned through 2026.</w:t>
      </w:r>
      <w:r/>
    </w:p>
    <w:p>
      <w:pPr>
        <w:pStyle w:val="ListBullet"/>
        <w:spacing w:line="240" w:lineRule="auto"/>
        <w:ind w:left="720"/>
      </w:pPr>
      <w:r/>
      <w:r>
        <w:rPr>
          <w:b/>
        </w:rPr>
        <w:t>Reinvestment focus:</w:t>
      </w:r>
      <w:r>
        <w:t xml:space="preserve"> Efficiency gains are earmarked partly for reinvestment, reinforcing long-term differentiation over immediate margin play.</w:t>
      </w:r>
      <w:r/>
      <w:r/>
    </w:p>
    <w:p>
      <w:pPr>
        <w:pStyle w:val="Heading2"/>
      </w:pPr>
      <w:r>
        <w:t>Why WTW is taking AI seriously , and softly</w:t>
      </w:r>
      <w:r/>
    </w:p>
    <w:p>
      <w:r/>
      <w:r>
        <w:t>WTW has made it clear AI isn't a cheap-labour substitute but a strategic chassis for richer services, and you can almost hear the relief in that framing. According to the company's leadership, clients expect advice delivered with fast, data-smart tools and a human hand where stakes are high. That matters because many insurance decisions are mission critical; a misplaced automation can cost more than it saves.</w:t>
      </w:r>
      <w:r/>
    </w:p>
    <w:p>
      <w:r/>
      <w:r>
        <w:t>The Newfront purchase plugs technology and agentic AI capabilities into WTW’s scale, giving the group both proprietary data and a wider distribution network. Early signs, faster endorsements, millions of processed calls, show practical wins, but management insists the real prize is defensibility and better client outcomes over time.</w:t>
      </w:r>
      <w:r/>
    </w:p>
    <w:p>
      <w:pPr>
        <w:pStyle w:val="Heading2"/>
      </w:pPr>
      <w:r>
        <w:t>What they’re rolling out now: Neuron, Rewards AI and more</w:t>
      </w:r>
      <w:r/>
    </w:p>
    <w:p>
      <w:r/>
      <w:r>
        <w:t>Neuron is WTW’s AI-powered operating system for risk and analytics; it’s live in cyber in North America and in UK property, with a phased broader rollout planned through 2026. Rewards AI, focused on compensation benchmarking with generative models, already serves thousands of users, showing that niche, practical tools can gain traction quickly.</w:t>
      </w:r>
      <w:r/>
    </w:p>
    <w:p>
      <w:r/>
      <w:r>
        <w:t>This isn’t vapourware. Usage metrics and domain-specific deployments suggest WTW is prioritising high-value workflows where oversight and negotiation still need human nuance. For customers, that means faster analysis without losing the advocate who knows policy quirks and carrier relationships.</w:t>
      </w:r>
      <w:r/>
    </w:p>
    <w:p>
      <w:pPr>
        <w:pStyle w:val="Heading2"/>
      </w:pPr>
      <w:r>
        <w:t>Why proprietary data and people matter more than headline AI</w:t>
      </w:r>
      <w:r/>
    </w:p>
    <w:p>
      <w:r/>
      <w:r>
        <w:t>Spike Lipkin, WTW’s Chief AI Officer, points to one obvious lever: lots of proprietary data makes models more useful. But the company’s argument goes further. According to executives, the combination of integrated advisory teams and unique datasets creates a compounding advantage, AI models improve with more, real-world inputs and skilled users.</w:t>
      </w:r>
      <w:r/>
    </w:p>
    <w:p>
      <w:r/>
      <w:r>
        <w:t>CFO Andrew Krasner framed it plainly: the durable benefit is an AI-fluent workforce plus data, not one-off cost savings. So expect WTW to keep investing in employee adoption and model improvement rather than chasing dramatic, immediate margin lifts.</w:t>
      </w:r>
      <w:r/>
    </w:p>
    <w:p>
      <w:pPr>
        <w:pStyle w:val="Heading2"/>
      </w:pPr>
      <w:r>
        <w:t>Practical implications for clients and brokers</w:t>
      </w:r>
      <w:r/>
    </w:p>
    <w:p>
      <w:r/>
      <w:r>
        <w:t>If you’re a client, the promise is simpler, faster insights with human oversight for complex outcomes like claims handling or carrier negotiations. For brokers and in-house risk teams, the playbook is similar: adopt tools that reduce drudge work, call notes, endorsements, while keeping domain experts in the loop.</w:t>
      </w:r>
      <w:r/>
    </w:p>
    <w:p>
      <w:r/>
      <w:r>
        <w:t>A useful rule of thumb when evaluating vendor AI in insurance: prefer solutions that augment judgement, show measurable time savings, and connect to real-world outcomes. WTW’s approach ticks those boxes, especially where speed and advocacy both matter.</w:t>
      </w:r>
      <w:r/>
    </w:p>
    <w:p>
      <w:pPr>
        <w:pStyle w:val="Heading2"/>
      </w:pPr>
      <w:r>
        <w:t>What to watch next: scaling, governance and reinvestment</w:t>
      </w:r>
      <w:r/>
    </w:p>
    <w:p>
      <w:r/>
      <w:r>
        <w:t>Over the next year, look for three signposts. First, how quickly Neuron and Newfront’s agentic AI spread across WTW’s lines. Second, whether productivity gains are visibly reinvested into client-facing services and new analytics products. Third, governance and controls, clients will expect robust oversight where models touch underwriting, pricing or claims.</w:t>
      </w:r>
      <w:r/>
    </w:p>
    <w:p>
      <w:r/>
      <w:r>
        <w:t>WTW’s strategy feels cautious and ambitious at once: cautious about replacing human judgement, ambitious about creating an integrated, data-driven advantage. For competitors, the challenge will be matching scale, data depth and advisory reach.</w:t>
      </w:r>
      <w:r/>
    </w:p>
    <w:p>
      <w:r/>
      <w:r>
        <w:t>It's a small change that can make every client interaction smarter and stronger.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0">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https://www.insurtechinsights.com/wtw-outlines-ai-strategy-following-newfront-acquisition-focuses-on-scale-and-defensibility/</w:t>
        </w:r>
      </w:hyperlink>
      <w:r>
        <w:t xml:space="preserve"> - Please view link - unable to able to access data</w:t>
      </w:r>
      <w:r/>
    </w:p>
    <w:p>
      <w:pPr>
        <w:pStyle w:val="ListNumber"/>
        <w:spacing w:line="240" w:lineRule="auto"/>
        <w:ind w:left="720"/>
      </w:pPr>
      <w:r/>
      <w:hyperlink r:id="rId9">
        <w:r>
          <w:rPr>
            <w:color w:val="0000EE"/>
            <w:u w:val="single"/>
          </w:rPr>
          <w:t>https://www.insurtechinsights.com/wtw-outlines-ai-strategy-following-newfront-acquisition-focuses-on-scale-and-defensibility/</w:t>
        </w:r>
      </w:hyperlink>
      <w:r>
        <w:t xml:space="preserve"> - Willis Towers Watson (WTW) has detailed its artificial intelligence strategy following its acquisition of Newfront, positioning AI as a long-term driver of growth, efficiency, and competitive advantage rather than a tool for simple cost reduction. CEO Carl Hess emphasized that clients increasingly expect a combination of technology and human expertise. WTW highlighted its structural advantages in deploying AI at scale, including proprietary data, global reach, and integrated advisory and broking capabilities across its Health, Wealth and Career and Risk and Broking segments. Management outlined several key themes underpinning its strategy, including operating in complex, mission-critical areas where the cost of poor decisions outweighs the benefits of automation alone. AI is seen as a tool to enhance efficiency, but not replace trust, judgment, or advocacy—particularly in areas such as claims handling and carrier negotiations. WTW believes its scale, long-standing client relationships, and data assets create barriers that are difficult for competitors to replicate. The company also noted that AI is expanding demand in areas like analytics and cyber risk, increasing the need for sophisticated insurance solutions. WTW is already embedding AI across multiple parts of the business. In Risk &amp; Broking, it is rolling out Neuron, an AI-powered operating system that integrates risk and analytics tools into a single platform. The system is currently live in cyber in North America and UK property, with broader deployment planned through 2026. Within its Health, Wealth and Career division, Rewards AI—focused on compensation benchmarking using generative AI—now supports more than 2,500 users. The company is also leveraging Newfront’s technology suite, including tools such as Coverage Gap Analysis, Navigator, and Partner Management. Chief AI Officer Spike Lipkin said: “AI is most effective when supplied with a vast amount of proprietary data, which WTW has.” Early results suggest tangible productivity gains. The firm’s Call Note Assist tool has processed more than 1.6 million calls since July 2025, reducing post-call workloads by 33%, while endorsement processing times have dropped by 90%. Looking ahead, WTW plans to scale Newfront’s agentic AI capabilities across the organisation and deepen adoption among employees, creating a compounding effect as usage grows and models improve. CFO Andrew Krasner underscored the long-term focus on competitive positioning rather than immediate margin expansion: “The most durable benefit isn’t cost reduction… it’s the advantage of combining proprietary data and an AI-fluent workforce… hard to replicate.” He added that some efficiency gains will be reinvested into the business, reinforcing WTW’s view that AI is a strategic enabler of growth and differentiation rather than simply a cost-cutting tool.</w:t>
      </w:r>
      <w:r/>
    </w:p>
    <w:p>
      <w:pPr>
        <w:pStyle w:val="ListNumber"/>
        <w:spacing w:line="240" w:lineRule="auto"/>
        <w:ind w:left="720"/>
      </w:pPr>
      <w:r/>
      <w:hyperlink r:id="rId11">
        <w:r>
          <w:rPr>
            <w:color w:val="0000EE"/>
            <w:u w:val="single"/>
          </w:rPr>
          <w:t>https://investors.wtwco.com/news-releases/news-release-details/wtw-completes-acquisition-newfront</w:t>
        </w:r>
      </w:hyperlink>
      <w:r>
        <w:t xml:space="preserve"> - On January 27, 2026, Willis Towers Watson (WTW) completed its acquisition of Newfront, a San Francisco-based, top 40 U.S. broker combining deep specialty expertise and cutting-edge technology. This acquisition expands WTW’s reach in the U.S. middle market and accelerates the execution of technology and specialty strategies through Newfront’s AI and automation technology and high-growth industry expertise. Newfront now operates as part of WTW, with its major business segments, Business Insurance and Total Rewards, joining WTW’s Risk &amp; Broking and Health, Wealth &amp; Career segments, respectively. Newfront Co-Founder and CEO, Spike Lipkin, will focus on integration, client development, talent acquisition, and technology within WTW. The acquisition is expected to enhance WTW’s delivery of innovative and efficient solutions to clients, combining Newfront’s technology-enabled broking model and expertise in high-growth industries with WTW’s global footprint, specialty strategy, and established analytics and broking platforms.</w:t>
      </w:r>
      <w:r/>
    </w:p>
    <w:p>
      <w:pPr>
        <w:pStyle w:val="ListNumber"/>
        <w:spacing w:line="240" w:lineRule="auto"/>
        <w:ind w:left="720"/>
      </w:pPr>
      <w:r/>
      <w:hyperlink r:id="rId10">
        <w:r>
          <w:rPr>
            <w:color w:val="0000EE"/>
            <w:u w:val="single"/>
          </w:rPr>
          <w:t>https://www.globenewswire.com/news-release/2026/04/27/3281689/0/en/wtw-announces-new-leadership-roles-to-accelerate-enterprise-ai-strategy-and-adoption.html</w:t>
        </w:r>
      </w:hyperlink>
      <w:r>
        <w:t xml:space="preserve"> - On April 27, 2026, Willis Towers Watson (WTW) announced the appointment of Spike Lipkin as Chief AI Officer and Gordon Wintrob as Head of AI Acceleration, effective immediately. These appointments aim to scale Newfront’s proven, AI-native approach and innovative capabilities across WTW. Working in close partnership with WTW’s technology function and businesses, the new leadership roles will enable faster, more consistent AI adoption at scale across WTW globally, in alignment with company strategy. CEO Carl Hess expressed excitement about the appointments, stating they will help further embed AI across WTW to enable faster insights and smarter decisions.</w:t>
      </w:r>
      <w:r/>
    </w:p>
    <w:p>
      <w:pPr>
        <w:pStyle w:val="ListNumber"/>
        <w:spacing w:line="240" w:lineRule="auto"/>
        <w:ind w:left="720"/>
      </w:pPr>
      <w:r/>
      <w:hyperlink r:id="rId13">
        <w:r>
          <w:rPr>
            <w:color w:val="0000EE"/>
            <w:u w:val="single"/>
          </w:rPr>
          <w:t>https://www.businessinsurance.com/wtw-names-former-newfront-execs-to-ai-leadership-roles/</w:t>
        </w:r>
      </w:hyperlink>
      <w:r>
        <w:t xml:space="preserve"> - Willis Towers Watson (WTW) has appointed former Newfront executives Spike Lipkin and Gordon Wintrob to key AI leadership roles. Spike Lipkin, previously CEO of Newfront, has been named Chief AI Officer, while Gordon Wintrob, former Chief Technology Officer of Newfront, will serve as Head of AI Acceleration. Both will report to CEO Carl Hess. These appointments aim to scale Newfront’s AI capabilities across WTW and accelerate the adoption of artificial intelligence across its global operations. Lipkin will help shape how AI advances the company’s long-term strategy and competitive positioning, while Wintrob will focus on expanding enterprise-wide use of AI tools. CEO Carl Hess stated that these roles will help further embed AI across WTW to enable faster insights and smarter decisions.</w:t>
      </w:r>
      <w:r/>
    </w:p>
    <w:p>
      <w:pPr>
        <w:pStyle w:val="ListNumber"/>
        <w:spacing w:line="240" w:lineRule="auto"/>
        <w:ind w:left="720"/>
      </w:pPr>
      <w:r/>
      <w:hyperlink r:id="rId12">
        <w:r>
          <w:rPr>
            <w:color w:val="0000EE"/>
            <w:u w:val="single"/>
          </w:rPr>
          <w:t>https://www.businessinsurance.com/wtw-to-buy-brokerage-firm-newfront-in-up-to-1-3-billion-deal/</w:t>
        </w:r>
      </w:hyperlink>
      <w:r>
        <w:t xml:space="preserve"> - On December 10, 2025, Willis Towers Watson (WTW) announced its intention to acquire Newfront, a San Francisco-based, top 40 U.S. broker combining deep specialty expertise and cutting-edge technology, in a deal worth up to $1.3 billion. The acquisition aims to expand WTW’s reach in the U.S. middle market and strengthen its position in high-growth sectors such as technology, fintech, and life sciences. The deal includes a $1.05 billion upfront payment, comprising approximately $900 million in cash and approximately $150 million in equity, with an additional contingent payout of up to $250 million, primarily in equity. The acquisition is expected to enhance WTW’s delivery of innovative and efficient solutions to clients, combining Newfront’s technology-enabled broking model and expertise in high-growth industries with WTW’s global footprint, specialty strategy, and established analytics and broking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techinsights.com/wtw-outlines-ai-strategy-following-newfront-acquisition-focuses-on-scale-and-defensibility/" TargetMode="External"/><Relationship Id="rId10" Type="http://schemas.openxmlformats.org/officeDocument/2006/relationships/hyperlink" Target="https://www.globenewswire.com/news-release/2026/04/27/3281689/0/en/wtw-announces-new-leadership-roles-to-accelerate-enterprise-ai-strategy-and-adoption.html" TargetMode="External"/><Relationship Id="rId11" Type="http://schemas.openxmlformats.org/officeDocument/2006/relationships/hyperlink" Target="https://investors.wtwco.com/news-releases/news-release-details/wtw-completes-acquisition-newfront" TargetMode="External"/><Relationship Id="rId12" Type="http://schemas.openxmlformats.org/officeDocument/2006/relationships/hyperlink" Target="https://www.businessinsurance.com/wtw-to-buy-brokerage-firm-newfront-in-up-to-1-3-billion-deal/" TargetMode="External"/><Relationship Id="rId13" Type="http://schemas.openxmlformats.org/officeDocument/2006/relationships/hyperlink" Target="https://www.businessinsurance.com/wtw-names-former-newfront-execs-to-ai-leadership-ro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