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Loss Control Services for Underwriters: How End-to-End Surveys Improve Profitability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end-to-end loss control services as insurers scale up; these complete survey solutions standardise inspections, cut underwriting delays and reduce costs, helping underwriters make faster, more confident pricing and selection decisions across growing portfolios.</w:t>
      </w:r>
      <w:r/>
    </w:p>
    <w:p>
      <w:r/>
      <w:r>
        <w:t>Essential Takeaways</w:t>
      </w:r>
      <w:r/>
      <w:r/>
    </w:p>
    <w:p>
      <w:pPr>
        <w:pStyle w:val="ListBullet"/>
        <w:spacing w:line="240" w:lineRule="auto"/>
        <w:ind w:left="720"/>
      </w:pPr>
      <w:r/>
      <w:r>
        <w:rPr>
          <w:b/>
        </w:rPr>
        <w:t>Faster decisions:</w:t>
      </w:r>
      <w:r>
        <w:t xml:space="preserve"> End-to-end loss control cuts underwriting cycle times by owning the full survey workflow, so policies bind sooner. </w:t>
      </w:r>
      <w:r/>
    </w:p>
    <w:p>
      <w:pPr>
        <w:pStyle w:val="ListBullet"/>
        <w:spacing w:line="240" w:lineRule="auto"/>
        <w:ind w:left="720"/>
      </w:pPr>
      <w:r/>
      <w:r>
        <w:rPr>
          <w:b/>
        </w:rPr>
        <w:t>Consistent data:</w:t>
      </w:r>
      <w:r>
        <w:t xml:space="preserve"> Standardised surveys and quality controls deliver repeatable, reliable risk information that feels trustworthy. </w:t>
      </w:r>
      <w:r/>
    </w:p>
    <w:p>
      <w:pPr>
        <w:pStyle w:val="ListBullet"/>
        <w:spacing w:line="240" w:lineRule="auto"/>
        <w:ind w:left="720"/>
      </w:pPr>
      <w:r/>
      <w:r>
        <w:rPr>
          <w:b/>
        </w:rPr>
        <w:t>Lower overhead:</w:t>
      </w:r>
      <w:r>
        <w:t xml:space="preserve"> Consolidating vendors reduces admin, duplicate efforts and vendor management costs while scaling capacity. </w:t>
      </w:r>
      <w:r/>
    </w:p>
    <w:p>
      <w:pPr>
        <w:pStyle w:val="ListBullet"/>
        <w:spacing w:line="240" w:lineRule="auto"/>
        <w:ind w:left="720"/>
      </w:pPr>
      <w:r/>
      <w:r>
        <w:rPr>
          <w:b/>
        </w:rPr>
        <w:t>Flexible delivery:</w:t>
      </w:r>
      <w:r>
        <w:t xml:space="preserve"> Physical, virtual and phone surveys let you match inspection method to risk and budget. </w:t>
      </w:r>
      <w:r/>
    </w:p>
    <w:p>
      <w:pPr>
        <w:pStyle w:val="ListBullet"/>
        <w:spacing w:line="240" w:lineRule="auto"/>
        <w:ind w:left="720"/>
      </w:pPr>
      <w:r/>
      <w:r>
        <w:rPr>
          <w:b/>
        </w:rPr>
        <w:t>Actionable outcomes:</w:t>
      </w:r>
      <w:r>
        <w:t xml:space="preserve"> Clear recommendations tied to underwriting needs make follow-up and compliance easier.</w:t>
      </w:r>
      <w:r/>
      <w:r/>
    </w:p>
    <w:p>
      <w:pPr>
        <w:pStyle w:val="Heading2"/>
      </w:pPr>
      <w:r>
        <w:t>Why insurers are choosing end-to-end loss control now</w:t>
      </w:r>
      <w:r/>
    </w:p>
    <w:p>
      <w:r/>
      <w:r>
        <w:t>Underwriters are juggling bigger books and more complex risks, and a sloppy survey process shows up as delays, rework and inconsistent decisions. According to industry discussions, firms that centralise the survey lifecycle see a noticeable drop in the back-and-forth that stalls files. The difference is almost tactile: instead of chasing missing facts, underwriters get a tidy packet of inspected facts, photos and clear recommendations, which feels like breathing room.</w:t>
      </w:r>
      <w:r/>
    </w:p>
    <w:p>
      <w:r/>
      <w:r>
        <w:t>This approach grew from the friction of fragmented workflows , multiple vendors, manual handoffs and patchy standards. By wrapping intake, scheduling, field work, reporting and follow-up into one solution, insurers eliminate the common “lost baton” moments. If you want underwriting to move at the speed of business, this is where to start.</w:t>
      </w:r>
      <w:r/>
    </w:p>
    <w:p>
      <w:pPr>
        <w:pStyle w:val="Heading2"/>
      </w:pPr>
      <w:r>
        <w:t>What a true end-to-end service actually covers</w:t>
      </w:r>
      <w:r/>
    </w:p>
    <w:p>
      <w:r/>
      <w:r>
        <w:t>A comprehensive loss control programme manages every touchpoint: order intake, request validation, assignment initiation, scheduling and rescheduling, on-site or remote inspections, report development, analysis, recommendations and compliance tracking. That single-thread ownership reduces rework and the costly kickbacks that happen when separate parties handle pieces of the puzzle.</w:t>
      </w:r>
      <w:r/>
    </w:p>
    <w:p>
      <w:r/>
      <w:r>
        <w:t>Practically, that means fewer calls to chase surveys, fewer incomplete reports and less time spent reconciling inconsistent findings. For operations teams, it's a tidy win: predictable workflows and fewer escalations. For underwriters, it’s consistent inputs that make pricing and selection cleaner and quicker.</w:t>
      </w:r>
      <w:r/>
    </w:p>
    <w:p>
      <w:pPr>
        <w:pStyle w:val="Heading2"/>
      </w:pPr>
      <w:r>
        <w:t>Faster underwriting cycles , real impact on business results</w:t>
      </w:r>
      <w:r/>
    </w:p>
    <w:p>
      <w:r/>
      <w:r>
        <w:t>Speed matters. Faster cycle times mean you bind business quicker, reduce quote abandonment and improve policyholder satisfaction. When one provider drives the whole survey, turnarounds shrink because there’s no finger-pointing and no duplicated steps.</w:t>
      </w:r>
      <w:r/>
    </w:p>
    <w:p>
      <w:r/>
      <w:r>
        <w:t>Streamlining also reduces costly rework. Instead of reassigning surveys or redoing visits because something was missed, a standardised process gets it right first time. The bottom line is improved throughput without adding headcount, which is particularly valuable when a book of business is growing fast.</w:t>
      </w:r>
      <w:r/>
    </w:p>
    <w:p>
      <w:pPr>
        <w:pStyle w:val="Heading2"/>
      </w:pPr>
      <w:r>
        <w:t>Consistency and quality , why standard surveys matter</w:t>
      </w:r>
      <w:r/>
    </w:p>
    <w:p>
      <w:r/>
      <w:r>
        <w:t>Variability in survey quality makes pricing unreliable and forces underwriters to build wider margins or punt risks. Standardised methodologies, quality controls and central review deliver the same rigorous standard across every inspection. That consistency lets underwriters trust the data and make finer-grained decisions on pricing and risk appetite.</w:t>
      </w:r>
      <w:r/>
    </w:p>
    <w:p>
      <w:r/>
      <w:r>
        <w:t>Choose providers that publish their methodology, train inspectors consistently and embed peer review. Those steps reduce surprises and give your team a steady stream of comparable, actionable data.</w:t>
      </w:r>
      <w:r/>
    </w:p>
    <w:p>
      <w:pPr>
        <w:pStyle w:val="Heading2"/>
      </w:pPr>
      <w:r>
        <w:t>Scale without the overhead: what to look for in a partner</w:t>
      </w:r>
      <w:r/>
    </w:p>
    <w:p>
      <w:r/>
      <w:r>
        <w:t>When you want to grow, the temptation is to hire more staff or add tech systems. But a nationwide, proven loss control network lets you expand without the fixed costs. Look for partners that combine local field capability with centralised operations, and that can flex between on-site, virtual or phone surveys depending on exposure and budget.</w:t>
      </w:r>
      <w:r/>
    </w:p>
    <w:p>
      <w:r/>
      <w:r>
        <w:t>Also ask about reporting formats, integration with your underwriting platform, and follow-up monitoring. The best partners don’t just hand over reports; they help track remediation and demonstrate compliance over time.</w:t>
      </w:r>
      <w:r/>
    </w:p>
    <w:p>
      <w:pPr>
        <w:pStyle w:val="Heading2"/>
      </w:pPr>
      <w:r>
        <w:t>Practical tips for buying a loss control service</w:t>
      </w:r>
      <w:r/>
      <w:r/>
    </w:p>
    <w:p>
      <w:pPr>
        <w:pStyle w:val="ListBullet"/>
        <w:spacing w:line="240" w:lineRule="auto"/>
        <w:ind w:left="720"/>
      </w:pPr>
      <w:r/>
      <w:r>
        <w:t xml:space="preserve">Match the inspection method to risk: use virtual or phone surveys for low-exposure accounts and reserve on-site for higher risk. </w:t>
      </w:r>
      <w:r/>
    </w:p>
    <w:p>
      <w:pPr>
        <w:pStyle w:val="ListBullet"/>
        <w:spacing w:line="240" w:lineRule="auto"/>
        <w:ind w:left="720"/>
      </w:pPr>
      <w:r/>
      <w:r>
        <w:t xml:space="preserve">Demand standard templates and KPIs so you can compare results across your portfolio. </w:t>
      </w:r>
      <w:r/>
    </w:p>
    <w:p>
      <w:pPr>
        <w:pStyle w:val="ListBullet"/>
        <w:spacing w:line="240" w:lineRule="auto"/>
        <w:ind w:left="720"/>
      </w:pPr>
      <w:r/>
      <w:r>
        <w:t xml:space="preserve">Ask about turnaround SLAs and escalation paths for urgent issues. </w:t>
      </w:r>
      <w:r/>
    </w:p>
    <w:p>
      <w:pPr>
        <w:pStyle w:val="ListBullet"/>
        <w:spacing w:line="240" w:lineRule="auto"/>
        <w:ind w:left="720"/>
      </w:pPr>
      <w:r/>
      <w:r>
        <w:t xml:space="preserve">Verify the partner’s quality assurance and reviewer process. </w:t>
      </w:r>
      <w:r/>
    </w:p>
    <w:p>
      <w:pPr>
        <w:pStyle w:val="ListBullet"/>
        <w:spacing w:line="240" w:lineRule="auto"/>
        <w:ind w:left="720"/>
      </w:pPr>
      <w:r/>
      <w:r>
        <w:t>Insist on clear, prioritised recommendations that underwriters can action quickly.</w:t>
      </w:r>
      <w:r/>
      <w:r/>
    </w:p>
    <w:p>
      <w:r/>
      <w:r>
        <w:t>It's a small operational change that can make every valuation clearer and every bind decision faster.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[4]</w:t>
        </w:r>
      </w:hyperlink>
      <w:r>
        <w:t xml:space="preserve">, </w:t>
      </w:r>
      <w:hyperlink r:id="rId10">
        <w:r>
          <w:rPr>
            <w:color w:val="0000EE"/>
            <w:u w:val="single"/>
          </w:rPr>
          <w:t>[5]</w:t>
        </w:r>
      </w:hyperlink>
      <w:r>
        <w:t xml:space="preserve">- Paragraph 6: </w:t>
      </w:r>
      <w:hyperlink r:id="rId10">
        <w:r>
          <w:rPr>
            <w:color w:val="0000EE"/>
            <w:u w:val="single"/>
          </w:rPr>
          <w:t>[6]</w:t>
        </w:r>
      </w:hyperlink>
      <w:r>
        <w:t xml:space="preserve">- Paragraph 7: </w:t>
      </w:r>
      <w:hyperlink r:id="rId10">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https://www.resourcepro.com/blogs/insurance-loss-control-services/</w:t>
        </w:r>
      </w:hyperlink>
      <w:r>
        <w:t xml:space="preserve"> - Please view link - unable to able to access data</w:t>
      </w:r>
      <w:r/>
    </w:p>
    <w:p>
      <w:pPr>
        <w:pStyle w:val="ListNumber"/>
        <w:spacing w:line="240" w:lineRule="auto"/>
        <w:ind w:left="720"/>
      </w:pPr>
      <w:r/>
      <w:hyperlink r:id="rId10">
        <w:r>
          <w:rPr>
            <w:color w:val="0000EE"/>
            <w:u w:val="single"/>
          </w:rPr>
          <w:t>https://www.acrisure.com/claims-loss-control</w:t>
        </w:r>
      </w:hyperlink>
      <w:r>
        <w:t xml:space="preserve"> - Acrisure offers comprehensive risk mitigation solutions, including loss control and claims management services, to help clients reduce risk and manage total loss costs effectively. Their approach focuses on developing safety programs to decrease claim frequency and severity, employing a multiline claim-handling doctrine for swift claim resolution, and utilizing subrogation and special investigations to identify potential recoveries and fraud. This end-to-end strategy aims to enhance client outcomes by addressing various aspects of risk management and claims processing.</w:t>
      </w:r>
      <w:r/>
    </w:p>
    <w:p>
      <w:pPr>
        <w:pStyle w:val="ListNumber"/>
        <w:spacing w:line="240" w:lineRule="auto"/>
        <w:ind w:left="720"/>
      </w:pPr>
      <w:r/>
      <w:hyperlink r:id="rId10">
        <w:r>
          <w:rPr>
            <w:color w:val="0000EE"/>
            <w:u w:val="single"/>
          </w:rPr>
          <w:t>https://www.acrisure.com/claims-loss-control</w:t>
        </w:r>
      </w:hyperlink>
      <w:r>
        <w:t xml:space="preserve"> - Acrisure provides end-to-end risk mitigation solutions, encompassing loss control and claims management services, to assist clients in reducing risk and managing total loss costs. Their approach includes developing safety programs to decrease claim frequency and severity, employing a multiline claim-handling doctrine for swift claim resolution, and utilizing subrogation and special investigations to identify potential recoveries and fraud. This comprehensive strategy aims to improve client outcomes by addressing various facets of risk management and claims processing.</w:t>
      </w:r>
      <w:r/>
    </w:p>
    <w:p>
      <w:pPr>
        <w:pStyle w:val="ListNumber"/>
        <w:spacing w:line="240" w:lineRule="auto"/>
        <w:ind w:left="720"/>
      </w:pPr>
      <w:r/>
      <w:hyperlink r:id="rId10">
        <w:r>
          <w:rPr>
            <w:color w:val="0000EE"/>
            <w:u w:val="single"/>
          </w:rPr>
          <w:t>https://www.acrisure.com/claims-loss-control</w:t>
        </w:r>
      </w:hyperlink>
      <w:r>
        <w:t xml:space="preserve"> - Acrisure offers comprehensive risk mitigation solutions, including loss control and claims management services, to help clients reduce risk and manage total loss costs effectively. Their approach focuses on developing safety programs to decrease claim frequency and severity, employing a multiline claim-handling doctrine for swift claim resolution, and utilizing subrogation and special investigations to identify potential recoveries and fraud. This end-to-end strategy aims to enhance client outcomes by addressing various aspects of risk management and claims processing.</w:t>
      </w:r>
      <w:r/>
    </w:p>
    <w:p>
      <w:pPr>
        <w:pStyle w:val="ListNumber"/>
        <w:spacing w:line="240" w:lineRule="auto"/>
        <w:ind w:left="720"/>
      </w:pPr>
      <w:r/>
      <w:hyperlink r:id="rId10">
        <w:r>
          <w:rPr>
            <w:color w:val="0000EE"/>
            <w:u w:val="single"/>
          </w:rPr>
          <w:t>https://www.acrisure.com/claims-loss-control</w:t>
        </w:r>
      </w:hyperlink>
      <w:r>
        <w:t xml:space="preserve"> - Acrisure provides end-to-end risk mitigation solutions, encompassing loss control and claims management services, to assist clients in reducing risk and managing total loss costs. Their approach includes developing safety programs to decrease claim frequency and severity, employing a multiline claim-handling doctrine for swift claim resolution, and utilizing subrogation and special investigations to identify potential recoveries and fraud. This comprehensive strategy aims to improve client outcomes by addressing various facets of risk management and claims processing.</w:t>
      </w:r>
      <w:r/>
    </w:p>
    <w:p>
      <w:pPr>
        <w:pStyle w:val="ListNumber"/>
        <w:spacing w:line="240" w:lineRule="auto"/>
        <w:ind w:left="720"/>
      </w:pPr>
      <w:r/>
      <w:hyperlink r:id="rId10">
        <w:r>
          <w:rPr>
            <w:color w:val="0000EE"/>
            <w:u w:val="single"/>
          </w:rPr>
          <w:t>https://www.acrisure.com/claims-loss-control</w:t>
        </w:r>
      </w:hyperlink>
      <w:r>
        <w:t xml:space="preserve"> - Acrisure offers comprehensive risk mitigation solutions, including loss control and claims management services, to help clients reduce risk and manage total loss costs effectively. Their approach focuses on developing safety programs to decrease claim frequency and severity, employing a multiline claim-handling doctrine for swift claim resolution, and utilizing subrogation and special investigations to identify potential recoveries and fraud. This end-to-end strategy aims to enhance client outcomes by addressing various aspects of risk management and claims processing.</w:t>
      </w:r>
      <w:r/>
    </w:p>
    <w:p>
      <w:pPr>
        <w:pStyle w:val="ListNumber"/>
        <w:spacing w:line="240" w:lineRule="auto"/>
        <w:ind w:left="720"/>
      </w:pPr>
      <w:r/>
      <w:hyperlink r:id="rId10">
        <w:r>
          <w:rPr>
            <w:color w:val="0000EE"/>
            <w:u w:val="single"/>
          </w:rPr>
          <w:t>https://www.acrisure.com/claims-loss-control</w:t>
        </w:r>
      </w:hyperlink>
      <w:r>
        <w:t xml:space="preserve"> - Acrisure provides end-to-end risk mitigation solutions, encompassing loss control and claims management services, to assist clients in reducing risk and managing total loss costs. Their approach includes developing safety programs to decrease claim frequency and severity, employing a multiline claim-handling doctrine for swift claim resolution, and utilizing subrogation and special investigations to identify potential recoveries and fraud. This comprehensive strategy aims to improve client outcomes by addressing various facets of risk management and claims processing.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sourcepro.com/blogs/insurance-loss-control-services/" TargetMode="External"/><Relationship Id="rId10" Type="http://schemas.openxmlformats.org/officeDocument/2006/relationships/hyperlink" Target="https://www.acrisure.com/claims-loss-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