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Underwriting Platforms for Fast Excess Casualty Launches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choosing configurable underwriting platforms as carriers race to launch excess casualty lines quickly , a national P&amp;C insurer used IntellectAI to go live in 15 weeks, showing why speed, data enrichment and system connectivity now matter more than ever.</w:t>
      </w:r>
      <w:r/>
    </w:p>
    <w:p>
      <w:r/>
      <w:r>
        <w:t>Essential Takeaways</w:t>
      </w:r>
      <w:r/>
      <w:r/>
    </w:p>
    <w:p>
      <w:pPr>
        <w:pStyle w:val="ListBullet"/>
        <w:spacing w:line="240" w:lineRule="auto"/>
        <w:ind w:left="720"/>
      </w:pPr>
      <w:r/>
      <w:r>
        <w:rPr>
          <w:b/>
        </w:rPr>
        <w:t>Fast deployment:</w:t>
      </w:r>
      <w:r>
        <w:t xml:space="preserve"> The carrier launched a fully operational excess casualty platform in 15 weeks using a configuration-led approach.</w:t>
      </w:r>
      <w:r/>
    </w:p>
    <w:p>
      <w:pPr>
        <w:pStyle w:val="ListBullet"/>
        <w:spacing w:line="240" w:lineRule="auto"/>
        <w:ind w:left="720"/>
      </w:pPr>
      <w:r/>
      <w:r>
        <w:rPr>
          <w:b/>
        </w:rPr>
        <w:t>Built-in data enrichment:</w:t>
      </w:r>
      <w:r>
        <w:t xml:space="preserve"> The platform automatically filled gaps from incomplete broker submissions, cutting manual triage.</w:t>
      </w:r>
      <w:r/>
    </w:p>
    <w:p>
      <w:pPr>
        <w:pStyle w:val="ListBullet"/>
        <w:spacing w:line="240" w:lineRule="auto"/>
        <w:ind w:left="720"/>
      </w:pPr>
      <w:r/>
      <w:r>
        <w:rPr>
          <w:b/>
        </w:rPr>
        <w:t>Systems-friendly:</w:t>
      </w:r>
      <w:r>
        <w:t xml:space="preserve"> Integrations included VIN adjustments and OFAC screening without creating bottlenecks.</w:t>
      </w:r>
      <w:r/>
    </w:p>
    <w:p>
      <w:pPr>
        <w:pStyle w:val="ListBullet"/>
        <w:spacing w:line="240" w:lineRule="auto"/>
        <w:ind w:left="720"/>
      </w:pPr>
      <w:r/>
      <w:r>
        <w:rPr>
          <w:b/>
        </w:rPr>
        <w:t>Specialty accelerators:</w:t>
      </w:r>
      <w:r>
        <w:t xml:space="preserve"> Pre-built industry modules reduced custom code, producing a smoother rollout and lower risk.</w:t>
      </w:r>
      <w:r/>
    </w:p>
    <w:p>
      <w:pPr>
        <w:pStyle w:val="ListBullet"/>
        <w:spacing w:line="240" w:lineRule="auto"/>
        <w:ind w:left="720"/>
      </w:pPr>
      <w:r/>
      <w:r>
        <w:rPr>
          <w:b/>
        </w:rPr>
        <w:t>Practical feel:</w:t>
      </w:r>
      <w:r>
        <w:t xml:space="preserve"> Underwriters reported a steady, organised workbench instead of a clunky tangle of spreadsheets.</w:t>
      </w:r>
      <w:r/>
      <w:r/>
    </w:p>
    <w:p>
      <w:pPr>
        <w:pStyle w:val="Heading2"/>
      </w:pPr>
      <w:r>
        <w:t>Why speed wins in excess and surplus (E&amp;S) markets</w:t>
      </w:r>
      <w:r/>
    </w:p>
    <w:p>
      <w:r/>
      <w:r>
        <w:t>Time-to-market is the new competitive edge for carriers moving into non-admitted lines, and few products feel this pressure like excess casualty. Launching quickly means capturing broker relationships and premium flow before rivals do, and a rapid go-live has a tangible emotional payoff: underwriting teams can breathe again and stop living with temporary fixes. According to the case study, the insurer’s aggressive timeline forced a rethink , legacy systems simply couldn’t flex at the pace required.</w:t>
      </w:r>
      <w:r/>
    </w:p>
    <w:p>
      <w:r/>
      <w:r>
        <w:t>Behind the scenes, speed depends less on heroic coding sprints and more on the platform architecture. The insurer used IntellectAI’s underwriting ecosystem to configure workflows rather than build from scratch, which trimmed weeks off delivery and reduced the inevitable teething problems that bespoke projects bring.</w:t>
      </w:r>
      <w:r/>
    </w:p>
    <w:p>
      <w:pPr>
        <w:pStyle w:val="Heading2"/>
      </w:pPr>
      <w:r>
        <w:t>How data enrichment keeps brokers and underwriters happy</w:t>
      </w:r>
      <w:r/>
    </w:p>
    <w:p>
      <w:r/>
      <w:r>
        <w:t>Broker submissions are often messy , missing fields, incomplete endorsements, or sparse vehicle detail. That’s where automated enrichment becomes a working lifesaver. The platform in this roll-out automatically enriched incoming data so underwriters received a more complete file, lowering manual follow-ups and accelerating decisioning.</w:t>
      </w:r>
      <w:r/>
    </w:p>
    <w:p>
      <w:r/>
      <w:r>
        <w:t>Practically, that means fewer phone calls asking for basic details and more time spent on pricing and risk selection. For carriers launching specialty lines, this kind of automation translates directly into higher throughput and better broker experience, which in turn supports distribution momentum.</w:t>
      </w:r>
      <w:r/>
    </w:p>
    <w:p>
      <w:pPr>
        <w:pStyle w:val="Heading2"/>
      </w:pPr>
      <w:r>
        <w:t>Integrations that don’t choke your workflow</w:t>
      </w:r>
      <w:r/>
    </w:p>
    <w:p>
      <w:r/>
      <w:r>
        <w:t>A launch is only useful if the new platform can talk to the rest of the stack. The project required connections to services such as VIN adjustment tools and OFAC screening, and the challenge was to wire these in without producing delays. The solution integrated these third-party checks into the underwriting path so they run without manual intervention, avoiding the familiar “integration creates new manual steps” trap.</w:t>
      </w:r>
      <w:r/>
    </w:p>
    <w:p>
      <w:r/>
      <w:r>
        <w:t>Operationally, that looks like systematic lookups and enrichment that feed back into the underwriting workbench, keeping the UI uncluttered and underwriters focused. For firms considering a modern underwriting platform, check that integrations are asynchronous where possible and that the system degrades gracefully if a third-party service has a hiccup.</w:t>
      </w:r>
      <w:r/>
    </w:p>
    <w:p>
      <w:pPr>
        <w:pStyle w:val="Heading2"/>
      </w:pPr>
      <w:r>
        <w:t>Why configuration beats custom for specialty lines</w:t>
      </w:r>
      <w:r/>
    </w:p>
    <w:p>
      <w:r/>
      <w:r>
        <w:t>Custom development is heroic but slow, and specialty lines change fast as regulators, brokers and markets shift. The insurer chose a configuration-led approach, leveraging specialty accelerators to map workflows quickly. This means instead of waiting months for bespoke connectors or complex rule engines, teams can tweak pre-built components and deploy updates in a fraction of the time.</w:t>
      </w:r>
      <w:r/>
    </w:p>
    <w:p>
      <w:r/>
      <w:r>
        <w:t>That approach also lowers implementation risk: less custom code means fewer regression issues and easier vendor upgrades. If you’re evaluating platforms, prioritise configurable accelerators tailored to excess casualty and look for a vendor with a track record of rapid deployments.</w:t>
      </w:r>
      <w:r/>
    </w:p>
    <w:p>
      <w:pPr>
        <w:pStyle w:val="Heading2"/>
      </w:pPr>
      <w:r>
        <w:t>Practical tips for carriers planning a fast launch</w:t>
      </w:r>
      <w:r/>
      <w:r/>
    </w:p>
    <w:p>
      <w:pPr>
        <w:pStyle w:val="ListBullet"/>
        <w:spacing w:line="240" w:lineRule="auto"/>
        <w:ind w:left="720"/>
      </w:pPr>
      <w:r/>
      <w:r>
        <w:t>Define the minimum viable underwriting path first , get one clean workflow live, then expand.</w:t>
      </w:r>
      <w:r/>
    </w:p>
    <w:p>
      <w:pPr>
        <w:pStyle w:val="ListBullet"/>
        <w:spacing w:line="240" w:lineRule="auto"/>
        <w:ind w:left="720"/>
      </w:pPr>
      <w:r/>
      <w:r>
        <w:t>Insist on automated enrichment to reduce broker friction and underwriting backlog.</w:t>
      </w:r>
      <w:r/>
    </w:p>
    <w:p>
      <w:pPr>
        <w:pStyle w:val="ListBullet"/>
        <w:spacing w:line="240" w:lineRule="auto"/>
        <w:ind w:left="720"/>
      </w:pPr>
      <w:r/>
      <w:r>
        <w:t>Confirm third-party integrations are non-blocking and tested for error handling.</w:t>
      </w:r>
      <w:r/>
    </w:p>
    <w:p>
      <w:pPr>
        <w:pStyle w:val="ListBullet"/>
        <w:spacing w:line="240" w:lineRule="auto"/>
        <w:ind w:left="720"/>
      </w:pPr>
      <w:r/>
      <w:r>
        <w:t>Choose a vendor with proven specialty accelerators to avoid custom rebuilds.</w:t>
      </w:r>
      <w:r/>
    </w:p>
    <w:p>
      <w:pPr>
        <w:pStyle w:val="ListBullet"/>
        <w:spacing w:line="240" w:lineRule="auto"/>
        <w:ind w:left="720"/>
      </w:pPr>
      <w:r/>
      <w:r>
        <w:t>Prepare underwriters with training on the workbench to make sure speed converts to quality decisions.</w:t>
      </w:r>
      <w:r/>
      <w:r/>
    </w:p>
    <w:p>
      <w:r/>
      <w:r>
        <w:t>It's a small change that can make every new excess casualty launch quicker, cleaner and more commercially successful.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Paragraph 3: </w:t>
      </w:r>
      <w:hyperlink r:id="rId10">
        <w:r>
          <w:rPr>
            <w:color w:val="0000EE"/>
            <w:u w:val="single"/>
          </w:rPr>
          <w:t>[2]</w:t>
        </w:r>
      </w:hyperlink>
      <w:r>
        <w:t xml:space="preserve">, </w:t>
      </w:r>
      <w:hyperlink r:id="rId13">
        <w:r>
          <w:rPr>
            <w:color w:val="0000EE"/>
            <w:u w:val="single"/>
          </w:rPr>
          <w:t>[7]</w:t>
        </w:r>
      </w:hyperlink>
      <w:r>
        <w:t xml:space="preserve">- Paragraph 4: </w:t>
      </w:r>
      <w:hyperlink r:id="rId10">
        <w:r>
          <w:rPr>
            <w:color w:val="0000EE"/>
            <w:u w:val="single"/>
          </w:rPr>
          <w:t>[2]</w:t>
        </w:r>
      </w:hyperlink>
      <w:r>
        <w:t xml:space="preserve">, </w:t>
      </w:r>
      <w:hyperlink r:id="rId12">
        <w:r>
          <w:rPr>
            <w:color w:val="0000EE"/>
            <w:u w:val="single"/>
          </w:rPr>
          <w:t>[3]</w:t>
        </w:r>
      </w:hyperlink>
      <w:r>
        <w:t xml:space="preserve">- Paragraph 5: </w:t>
      </w:r>
      <w:hyperlink r:id="rId10">
        <w:r>
          <w:rPr>
            <w:color w:val="0000EE"/>
            <w:u w:val="single"/>
          </w:rPr>
          <w:t>[2]</w:t>
        </w:r>
      </w:hyperlink>
      <w:r>
        <w:t xml:space="preserve">, </w:t>
      </w:r>
      <w:hyperlink r:id="rId14">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https://fintech.global/2026/05/04/intellectai-powers-excess-casualty-launch-in-15-weeks/?utm_source=rss&amp;utm_medium=rss&amp;utm_campaign=intellectai-powers-excess-casualty-launch-in-15-weeks</w:t>
        </w:r>
      </w:hyperlink>
      <w:r>
        <w:t xml:space="preserve"> - Please view link - unable to able to access data</w:t>
      </w:r>
      <w:r/>
    </w:p>
    <w:p>
      <w:pPr>
        <w:pStyle w:val="ListNumber"/>
        <w:spacing w:line="240" w:lineRule="auto"/>
        <w:ind w:left="720"/>
      </w:pPr>
      <w:r/>
      <w:hyperlink r:id="rId10">
        <w:r>
          <w:rPr>
            <w:color w:val="0000EE"/>
            <w:u w:val="single"/>
          </w:rPr>
          <w:t>https://www.intellectai.com/case-study-excess-casualty-15-week-launch/</w:t>
        </w:r>
      </w:hyperlink>
      <w:r>
        <w:t xml:space="preserve"> - IntellectAI's case study details how a national property and casualty (P&amp;C) carrier launched an Excess Casualty line in 15 weeks. The carrier faced challenges with legacy systems, data quality issues, and complex system integrations. By partnering with IntellectAI, they deployed a fully functional underwriting platform across five lines of business: General Liability, Auto, Employers Liability, Umbrella, and Excess. The case study highlights the configuration-led strategy that enabled rapid deployment without sacrificing functional depth, addressing issues like incomplete broker submissions and the need for seamless system integrations.</w:t>
      </w:r>
      <w:r/>
    </w:p>
    <w:p>
      <w:pPr>
        <w:pStyle w:val="ListNumber"/>
        <w:spacing w:line="240" w:lineRule="auto"/>
        <w:ind w:left="720"/>
      </w:pPr>
      <w:r/>
      <w:hyperlink r:id="rId12">
        <w:r>
          <w:rPr>
            <w:color w:val="0000EE"/>
            <w:u w:val="single"/>
          </w:rPr>
          <w:t>https://www.intellectai.com/underwriting-ecosystem/</w:t>
        </w:r>
      </w:hyperlink>
      <w:r>
        <w:t xml:space="preserve"> - IntellectAI's Underwriting Ecosystem is designed to enhance the underwriting experience by integrating various components into a seamless, interconnected system. The ecosystem includes submission ingestion, AI-powered data extraction, third-party data integration, an underwriting workbench, and a policy administration system. This comprehensive approach aims to improve efficiency, accuracy, and decision-making in underwriting processes, allowing underwriters to focus on risk selection and profitability. The ecosystem is customizable to meet the specific needs of insurers, supporting growth, profitability, and multi-line underwriting.</w:t>
      </w:r>
      <w:r/>
    </w:p>
    <w:p>
      <w:pPr>
        <w:pStyle w:val="ListNumber"/>
        <w:spacing w:line="240" w:lineRule="auto"/>
        <w:ind w:left="720"/>
      </w:pPr>
      <w:r/>
      <w:hyperlink r:id="rId14">
        <w:r>
          <w:rPr>
            <w:color w:val="0000EE"/>
            <w:u w:val="single"/>
          </w:rPr>
          <w:t>https://www.intellectai.com/uw-ecosystem/</w:t>
        </w:r>
      </w:hyperlink>
      <w:r>
        <w:t xml:space="preserve"> - IntellectAI's AI Underwriting Ecosystem offers pre-built solutions powered by AI expert agents, equipping carriers and Managing General Agents (MGAs) with tools to make sharper decisions and drive better results. The ecosystem includes features like data ingestion, loss runs automation, data quality enhancement, workflow automation, underwriting sophistication, AI expert agents, work management, document generation, and risk intelligence. It aims to reduce decision-making time by 60%, lower costs by over 50%, and improve three-year loss ratios by 10%, thereby enhancing underwriting efficiency and effectiveness.</w:t>
      </w:r>
      <w:r/>
    </w:p>
    <w:p>
      <w:pPr>
        <w:pStyle w:val="ListNumber"/>
        <w:spacing w:line="240" w:lineRule="auto"/>
        <w:ind w:left="720"/>
      </w:pPr>
      <w:r/>
      <w:hyperlink r:id="rId11">
        <w:r>
          <w:rPr>
            <w:color w:val="0000EE"/>
            <w:u w:val="single"/>
          </w:rPr>
          <w:t>https://fintech.global/2026/03/19/how-a-carrier-launched-an-excess-casualty-line-in-15-weeks/</w:t>
        </w:r>
      </w:hyperlink>
      <w:r>
        <w:t xml:space="preserve"> - This article discusses how a national property and casualty (P&amp;C) carrier launched an Excess Casualty line in 15 weeks, a process that typically takes 12 to 18 months. The carrier faced challenges with legacy system constraints and complex integration requirements. By partnering with IntellectAI, they set an aggressive 15-week deadline to deploy a fully functional underwriting workbench across five lines of business: General Liability, Auto, Employers Liability, Umbrella, and Excess. The article highlights the ambitious project and the strategies employed to achieve rapid deployment.</w:t>
      </w:r>
      <w:r/>
    </w:p>
    <w:p>
      <w:pPr>
        <w:pStyle w:val="ListNumber"/>
        <w:spacing w:line="240" w:lineRule="auto"/>
        <w:ind w:left="720"/>
      </w:pPr>
      <w:r/>
      <w:hyperlink r:id="rId15">
        <w:r>
          <w:rPr>
            <w:color w:val="0000EE"/>
            <w:u w:val="single"/>
          </w:rPr>
          <w:t>https://www.intellectdesign.com/resources/press-release/intellectais-purple-fabric-ai-platform-clinches-inr-200-cr-multi-year-deal-for-transformation-of-underwriting-operations-of-leading-london-market-brokerage-firm/</w:t>
        </w:r>
      </w:hyperlink>
      <w:r>
        <w:t xml:space="preserve"> - IntellectAI's Purple Fabric AI platform secured a multi-year deal worth INR 200 crore with a leading London Market Brokerage firm. The agreement involves deploying IntellectAI's underwriting ecosystem, including Magic Submission and Xponent solutions, built on the Purple Fabric platform, to enhance and streamline the insurance policy placement process. This strategic engagement underscores the increasing demand for AI-powered solutions that improve underwriting efficiency, optimise market access, and streamline the end-to-end insurance policy placement process.</w:t>
      </w:r>
      <w:r/>
    </w:p>
    <w:p>
      <w:pPr>
        <w:pStyle w:val="ListNumber"/>
        <w:spacing w:line="240" w:lineRule="auto"/>
        <w:ind w:left="720"/>
      </w:pPr>
      <w:r/>
      <w:hyperlink r:id="rId13">
        <w:r>
          <w:rPr>
            <w:color w:val="0000EE"/>
            <w:u w:val="single"/>
          </w:rPr>
          <w:t>https://www.intellectai.com/db-ecosystem/</w:t>
        </w:r>
      </w:hyperlink>
      <w:r>
        <w:t xml:space="preserve"> - IntellectAI's distribution ecosystem equips wholesale brokers and agents with the intelligence and speed to analyse risks, structure towers, and collaborate seamlessly with capacity providers. The ecosystem includes features like data ingestion, submission intake, appetite match, marketing management, schematics, proposal, and policy binding. It aims to enhance distribution operations by improving placement marketing, accelerating placement by identifying the best-fit carriers for each risk, and placing complex and multi-layered risks with ease and speed, thereby providing a competitive edge in the market.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fintech.global/2026/05/04/intellectai-powers-excess-casualty-launch-in-15-weeks/?utm_source=rss&amp;utm_medium=rss&amp;utm_campaign=intellectai-powers-excess-casualty-launch-in-15-weeks" TargetMode="External"/><Relationship Id="rId10" Type="http://schemas.openxmlformats.org/officeDocument/2006/relationships/hyperlink" Target="https://www.intellectai.com/case-study-excess-casualty-15-week-launch/" TargetMode="External"/><Relationship Id="rId11" Type="http://schemas.openxmlformats.org/officeDocument/2006/relationships/hyperlink" Target="https://fintech.global/2026/03/19/how-a-carrier-launched-an-excess-casualty-line-in-15-weeks/" TargetMode="External"/><Relationship Id="rId12" Type="http://schemas.openxmlformats.org/officeDocument/2006/relationships/hyperlink" Target="https://www.intellectai.com/underwriting-ecosystem/" TargetMode="External"/><Relationship Id="rId13" Type="http://schemas.openxmlformats.org/officeDocument/2006/relationships/hyperlink" Target="https://www.intellectai.com/db-ecosystem/" TargetMode="External"/><Relationship Id="rId14" Type="http://schemas.openxmlformats.org/officeDocument/2006/relationships/hyperlink" Target="https://www.intellectai.com/uw-ecosystem/" TargetMode="External"/><Relationship Id="rId15" Type="http://schemas.openxmlformats.org/officeDocument/2006/relationships/hyperlink" Target="https://www.intellectdesign.com/resources/press-release/intellectais-purple-fabric-ai-platform-clinches-inr-200-cr-multi-year-deal-for-transformation-of-underwriting-operations-of-leading-london-market-brokerage-fir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