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Space-enabled finance shifts focus to precise, automated risk tools for climate and maritime sectors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Space-enabled finance is moving from a broad idea about climate data into a set of practical tools used in underwriting, lending, compliance, claims handling and portfolio oversight. According to the European Space Agency’s finance, investment and insurance work, the field is being shaped around specific workflows rather than abstract environmental narratives, with projects spanning maritime risk, renewable-energy protection, flood analytics and space-weather resilience. The common thread is that financial firms increasingly want outside signals that can be tied to pricing, payout or governance decisions.</w:t>
      </w:r>
      <w:r/>
    </w:p>
    <w:p>
      <w:r/>
      <w:r>
        <w:t>Parametric insurance remains the clearest example. Orbway says its spacecraft cover is built around predefined, measurable events, while Suyana describes climate insurance that uses satellite imagery and artificial intelligence to monitor weather and trigger automatic payouts once thresholds are crossed. ESA’s EWPIP project is also focused on automated satellite routines for drought and wildfire risk, showing how the model is spreading from niche pilots into more operational products. The attraction is obvious: if the trigger is objective, payment can be faster, disputes can be reduced and the policyholder gains liquidity when it matters most.</w:t>
      </w:r>
      <w:r/>
    </w:p>
    <w:p>
      <w:r/>
      <w:r>
        <w:t>That same logic is now shaping underwriting. Reesecure’s TriggerFlow underwriting-as-a-service product is designed to convert satellite information into verifiable trigger signals, version-controlled rules and audit-ready evidence packs, underlining how much weight insurers now place on explainability and record-keeping. Other ESA-backed work, such as Geo-Shield and SEFPAM, points to a market for building-level risk indicators, flood-prevention insight and terrain-based analysis that can support more granular pricing and loss validation. In practice, satellite data is becoming an independent physical layer that can supplement client disclosures, engineering reviews and hazard maps.</w:t>
      </w:r>
      <w:r/>
    </w:p>
    <w:p>
      <w:r/>
      <w:r>
        <w:t>Maritime finance has emerged as another strong use case. Earth observation, vessel-tracking and explainable scoring are being combined to help with sanctions screening, marine insurance and trade-related compliance, reflecting the value of external monitoring in a sector where hidden exposure can be expensive. Renewable energy is developing along similar lines: ESA’s Space4DRE project aims to translate solar-resource variability into insurance-grade performance indices and automated payouts for distributed portfolios. That matters because investors, operators and insurers all need a shared reference point when output falls short.</w:t>
      </w:r>
      <w:r/>
    </w:p>
    <w:p>
      <w:r/>
      <w:r>
        <w:t>The broader shift is toward climate-risk products that are narrow, measurable and directly linked to financial action. Industry data and ESA projects suggest the most useful signals are not sweeping climate narratives but specific indicators such as flood extent, soil moisture, wildfire perimeter, heat stress or asset-level performance deviation. As insurers, banks and investors demand defensible decision trails, the value of satellite data lies less in raw imagery than in its ability to support explainable, repeatable choices that can stand up in committees, audits and disputes.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2">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https://newspaceeconomy.ca/2026/05/02/how-space-enabled-financial-services-risk-analytics-and-climate-risk-products-work/</w:t>
        </w:r>
      </w:hyperlink>
      <w:r>
        <w:t xml:space="preserve"> - Please view link - unable to able to access data</w:t>
      </w:r>
      <w:r/>
    </w:p>
    <w:p>
      <w:pPr>
        <w:pStyle w:val="ListNumber"/>
        <w:spacing w:line="240" w:lineRule="auto"/>
        <w:ind w:left="720"/>
      </w:pPr>
      <w:r/>
      <w:hyperlink r:id="rId10">
        <w:r>
          <w:rPr>
            <w:color w:val="0000EE"/>
            <w:u w:val="single"/>
          </w:rPr>
          <w:t>https://orbway.co/</w:t>
        </w:r>
      </w:hyperlink>
      <w:r>
        <w:t xml:space="preserve"> - Orbway Space Insurance offers parametric insurance solutions for spacecraft, linking insurance payouts to predefined, measurable performance events. By defining coverage triggers upfront using objective data sources, Orbway ensures automatic payouts when these triggers are met, eliminating the need for post-event loss assessments. Their approach provides transparent pricing and customizable protection tailored to the operational needs of commercial satellite constellations, aiming to support revenue continuity and mitigate operational risks in the rapidly evolving space industry.</w:t>
      </w:r>
      <w:r/>
    </w:p>
    <w:p>
      <w:pPr>
        <w:pStyle w:val="ListNumber"/>
        <w:spacing w:line="240" w:lineRule="auto"/>
        <w:ind w:left="720"/>
      </w:pPr>
      <w:r/>
      <w:hyperlink r:id="rId13">
        <w:r>
          <w:rPr>
            <w:color w:val="0000EE"/>
            <w:u w:val="single"/>
          </w:rPr>
          <w:t>https://suyana.io/</w:t>
        </w:r>
      </w:hyperlink>
      <w:r>
        <w:t xml:space="preserve"> - Suyana provides parametric climate insurance powered by satellite imagery and artificial intelligence. Their platform monitors weather conditions, calculates location-specific risks, and triggers automatic payouts when predefined thresholds are exceeded, eliminating traditional claims processes. By tracking variables such as precipitation, soil moisture, and temperature, Suyana offers coverage that is both accurate and timely, catering to various geographical regions and enhancing the efficiency of climate-related insurance solutions.</w:t>
      </w:r>
      <w:r/>
    </w:p>
    <w:p>
      <w:pPr>
        <w:pStyle w:val="ListNumber"/>
        <w:spacing w:line="240" w:lineRule="auto"/>
        <w:ind w:left="720"/>
      </w:pPr>
      <w:r/>
      <w:hyperlink r:id="rId11">
        <w:r>
          <w:rPr>
            <w:color w:val="0000EE"/>
            <w:u w:val="single"/>
          </w:rPr>
          <w:t>https://reesecure.com/triggerflow-uaas</w:t>
        </w:r>
      </w:hyperlink>
      <w:r>
        <w:t xml:space="preserve"> - Reesecure's TriggerFlow UAaS (Underwriting-as-a-Service) license enables underwriters to design, test, and operate climate parametric triggers with audit-ready evidence and rule governance. This modular software solution converts satellite data into verifiable trigger signals, version-controlled rules, and evidence packs, facilitating the creation of parametric insurance clauses and climate add-ons. TriggerFlow aims to streamline the underwriting process by providing fast, auditable, and climate-linked decision-making tools without handling funds directly.</w:t>
      </w:r>
      <w:r/>
    </w:p>
    <w:p>
      <w:pPr>
        <w:pStyle w:val="ListNumber"/>
        <w:spacing w:line="240" w:lineRule="auto"/>
        <w:ind w:left="720"/>
      </w:pPr>
      <w:r/>
      <w:hyperlink r:id="rId14">
        <w:r>
          <w:rPr>
            <w:color w:val="0000EE"/>
            <w:u w:val="single"/>
          </w:rPr>
          <w:t>https://business.esa.int/projects/ewpip</w:t>
        </w:r>
      </w:hyperlink>
      <w:r>
        <w:t xml:space="preserve"> - The European Space Agency's EWPIP project focuses on implementing parametric insurance products using automated satellite data routines and index calculations for drought and wildfire risks. By leveraging various space-based assets, EWPIP aims to enhance parametric insurance solutions on a global scale, improving efficiency, accuracy, and transparency in the insurance process. The project seeks to reduce claims payment times by simplifying complex parametric claims calculations through the use of satellite data.</w:t>
      </w:r>
      <w:r/>
    </w:p>
    <w:p>
      <w:pPr>
        <w:pStyle w:val="ListNumber"/>
        <w:spacing w:line="240" w:lineRule="auto"/>
        <w:ind w:left="720"/>
      </w:pPr>
      <w:r/>
      <w:hyperlink r:id="rId15">
        <w:r>
          <w:rPr>
            <w:color w:val="0000EE"/>
            <w:u w:val="single"/>
          </w:rPr>
          <w:t>https://www.iceye.com/newsroom/press-releases/descartes-underwriting-and-iceye-announce-partnership-to-propel-parametric-insurance-product-design-with-advanced-flood-observation-technology</w:t>
        </w:r>
      </w:hyperlink>
      <w:r>
        <w:t xml:space="preserve"> - In October 2021, Descartes Underwriting and ICEYE announced a partnership to advance parametric insurance product design using ICEYE's synthetic-aperture radar (SAR) flood data and monitoring capabilities. This collaboration aims to enhance flood risk modelling and parametric insurance by integrating state-of-the-art technology into product design, combining Descartes' expertise in parametric insurance with ICEYE's innovative flood observation technology to improve the accuracy and efficiency of flood-related insurance solutions.</w:t>
      </w:r>
      <w:r/>
    </w:p>
    <w:p>
      <w:pPr>
        <w:pStyle w:val="ListNumber"/>
        <w:spacing w:line="240" w:lineRule="auto"/>
        <w:ind w:left="720"/>
      </w:pPr>
      <w:r/>
      <w:hyperlink r:id="rId12">
        <w:r>
          <w:rPr>
            <w:color w:val="0000EE"/>
            <w:u w:val="single"/>
          </w:rPr>
          <w:t>https://business.esa.int/projects/space4dre</w:t>
        </w:r>
      </w:hyperlink>
      <w:r>
        <w:t xml:space="preserve"> - The Space4DRE project, supported by the European Space Agency, assesses and validates a satellite-enabled parametric insurance solution for distributed renewable energy portfolios. By translating solar-resource variability into insurance-grade performance indices and enabling automated payouts based on predefined thresholds, Space4DRE aims to integrate performance-risk protection into digital insurance platforms. The project seeks to support the bankability of distributed renewable energy portfolios and define a clear pathway from pilot to deployment, addressing the challenges faced by renewable energy operators and their investors.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paceeconomy.ca/2026/05/02/how-space-enabled-financial-services-risk-analytics-and-climate-risk-products-work/" TargetMode="External"/><Relationship Id="rId10" Type="http://schemas.openxmlformats.org/officeDocument/2006/relationships/hyperlink" Target="https://orbway.co/" TargetMode="External"/><Relationship Id="rId11" Type="http://schemas.openxmlformats.org/officeDocument/2006/relationships/hyperlink" Target="https://reesecure.com/triggerflow-uaas" TargetMode="External"/><Relationship Id="rId12" Type="http://schemas.openxmlformats.org/officeDocument/2006/relationships/hyperlink" Target="https://business.esa.int/projects/space4dre" TargetMode="External"/><Relationship Id="rId13" Type="http://schemas.openxmlformats.org/officeDocument/2006/relationships/hyperlink" Target="https://suyana.io/" TargetMode="External"/><Relationship Id="rId14" Type="http://schemas.openxmlformats.org/officeDocument/2006/relationships/hyperlink" Target="https://business.esa.int/projects/ewpip" TargetMode="External"/><Relationship Id="rId15" Type="http://schemas.openxmlformats.org/officeDocument/2006/relationships/hyperlink" Target="https://www.iceye.com/newsroom/press-releases/descartes-underwriting-and-iceye-announce-partnership-to-propel-parametric-insurance-product-design-with-advanced-flood-observation-technolog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