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GRC Operating Model: Scaling Governance, Risk and Compliance with AI</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compliance tech are increasingly turning to AI-driven operating models as boards demand faster, broader assurance. This matters because GRC teams are stretched thin across resilience, third‑party risk, cyber, privacy and AI oversight , and scaling execution, not just visibility, is now the business priority.</w:t>
      </w:r>
      <w:r/>
    </w:p>
    <w:p>
      <w:r/>
      <w:r>
        <w:t>Essential Takeaways</w:t>
      </w:r>
      <w:r/>
      <w:r/>
    </w:p>
    <w:p>
      <w:pPr>
        <w:pStyle w:val="ListBullet"/>
        <w:spacing w:line="240" w:lineRule="auto"/>
        <w:ind w:left="720"/>
      </w:pPr>
      <w:r/>
      <w:r>
        <w:rPr>
          <w:b/>
        </w:rPr>
        <w:t>Capacity crunch:</w:t>
      </w:r>
      <w:r>
        <w:t xml:space="preserve"> GRC teams face expanding mandates without matching headcount, so backlogs and compliance fatigue are rising.</w:t>
      </w:r>
      <w:r/>
    </w:p>
    <w:p>
      <w:pPr>
        <w:pStyle w:val="ListBullet"/>
        <w:spacing w:line="240" w:lineRule="auto"/>
        <w:ind w:left="720"/>
      </w:pPr>
      <w:r/>
      <w:r>
        <w:rPr>
          <w:b/>
        </w:rPr>
        <w:t>Spreadsheets persist:</w:t>
      </w:r>
      <w:r>
        <w:t xml:space="preserve"> Many organisations still rely on manual tools and inbox workflows, which slow execution and increase risk.</w:t>
      </w:r>
      <w:r/>
    </w:p>
    <w:p>
      <w:pPr>
        <w:pStyle w:val="ListBullet"/>
        <w:spacing w:line="240" w:lineRule="auto"/>
        <w:ind w:left="720"/>
      </w:pPr>
      <w:r/>
      <w:r>
        <w:rPr>
          <w:b/>
        </w:rPr>
        <w:t>AI beyond assistants:</w:t>
      </w:r>
      <w:r>
        <w:t xml:space="preserve"> The shift is from generative helpers to AI acting as codified, role‑based contributors within workflows.</w:t>
      </w:r>
      <w:r/>
    </w:p>
    <w:p>
      <w:pPr>
        <w:pStyle w:val="ListBullet"/>
        <w:spacing w:line="240" w:lineRule="auto"/>
        <w:ind w:left="720"/>
      </w:pPr>
      <w:r/>
      <w:r>
        <w:rPr>
          <w:b/>
        </w:rPr>
        <w:t>Codified expertise:</w:t>
      </w:r>
      <w:r>
        <w:t xml:space="preserve"> Embedding institutional know‑how into systems preserves standards, reduces single‑person dependency and speeds audits.</w:t>
      </w:r>
      <w:r/>
    </w:p>
    <w:p>
      <w:pPr>
        <w:pStyle w:val="ListBullet"/>
        <w:spacing w:line="240" w:lineRule="auto"/>
        <w:ind w:left="720"/>
      </w:pPr>
      <w:r/>
      <w:r>
        <w:rPr>
          <w:b/>
        </w:rPr>
        <w:t>Governance first:</w:t>
      </w:r>
      <w:r>
        <w:t xml:space="preserve"> Clear permissions, transparent reasoning and human sign‑offs are essential when AI participates in regulated decisions.</w:t>
      </w:r>
      <w:r/>
      <w:r/>
    </w:p>
    <w:p>
      <w:pPr>
        <w:pStyle w:val="Heading2"/>
      </w:pPr>
      <w:r>
        <w:t>Why execution capacity, not insight, is the real problem</w:t>
      </w:r>
      <w:r/>
    </w:p>
    <w:p>
      <w:r/>
      <w:r>
        <w:t>Boards can see the risks , dashboards make problems visible , but seeing isn’t the same as fixing. The everyday headache in regulated industries is that the list of things to check and report on has ballooned while budgets and teams haven’t. That mismatch creates slower review cycles and growing backlogs, which feel like the business being held back rather than protected.</w:t>
      </w:r>
      <w:r/>
    </w:p>
    <w:p>
      <w:r/>
      <w:r>
        <w:t>For years firms papered over the gap with spreadsheets and heroic staff, but those workarounds are brittle. Industry commentary and reports show organisations still using manual processes alongside paid systems, a clear sign that visibility tools haven’t solved execution. The practical upshot: you need to measure capacity to execute as much as you measure compliance posture.</w:t>
      </w:r>
      <w:r/>
    </w:p>
    <w:p>
      <w:pPr>
        <w:pStyle w:val="Heading2"/>
      </w:pPr>
      <w:r>
        <w:t>How AI can be more than a policy helper</w:t>
      </w:r>
      <w:r/>
    </w:p>
    <w:p>
      <w:r/>
      <w:r>
        <w:t>Many early AI tools in compliance have been clever summarists , they draft, they answer questions, they speed a single task. That’s useful, but it leaves the human responsible for running the whole process. The more valuable model is when AI operates like a virtual specialist: a vendor manager, auditor or control owner that follows the organisation’s rules and workflows.</w:t>
      </w:r>
      <w:r/>
    </w:p>
    <w:p>
      <w:r/>
      <w:r>
        <w:t>That shift gives you operating leverage. Instead of hiring more experienced people to do every assessment, you have scalable, repeatable agents that carry out defined tasks at pace. The trick is to codify the methods experts use today so the AI doesn’t just produce output, it applies your standards consistently across hundreds of assessments.</w:t>
      </w:r>
      <w:r/>
    </w:p>
    <w:p>
      <w:pPr>
        <w:pStyle w:val="Heading2"/>
      </w:pPr>
      <w:r>
        <w:t>Codifying expertise: how to turn people’s know‑how into a business asset</w:t>
      </w:r>
      <w:r/>
    </w:p>
    <w:p>
      <w:r/>
      <w:r>
        <w:t>Most of the best compliance judgement lives in people’s heads , what good evidence looks like, how to score a supplier, when to escalate. Capturing that as codified rules and workflows changes the game. It makes knowledge portable, repeatable and auditable, so you’re not left naked when a senior lead moves on.</w:t>
      </w:r>
      <w:r/>
    </w:p>
    <w:p>
      <w:r/>
      <w:r>
        <w:t>Practically, this means building templates, decision trees and scoring rubrics into the tools that run your processes. You get continuity, faster onboarding and fewer one‑off calls to senior staff. It’s not about replacing experts, it’s about amplifying them so the whole team works at a higher standard.</w:t>
      </w:r>
      <w:r/>
    </w:p>
    <w:p>
      <w:pPr>
        <w:pStyle w:val="Heading2"/>
      </w:pPr>
      <w:r>
        <w:t>Governance and explainability: non‑negotiables for AI in regulated work</w:t>
      </w:r>
      <w:r/>
    </w:p>
    <w:p>
      <w:r/>
      <w:r>
        <w:t>Boards won’t accept speed at the expense of accountability. If AI takes actions in regulated flows, you must be able to show what it did, why it did it and who overruled it. Role‑based permissions, transparent records of reasoning and mandatory human confirmation for high‑risk decisions are basic controls, not optional extras.</w:t>
      </w:r>
      <w:r/>
    </w:p>
    <w:p>
      <w:r/>
      <w:r>
        <w:t>Design these controls into the architecture from day one. That approach builds confidence across compliance, legal and the boardroom, and it makes regulators’ lives easier when they ask for an audit trail. In short: trust in automation is built on explainability and sensible limits.</w:t>
      </w:r>
      <w:r/>
    </w:p>
    <w:p>
      <w:pPr>
        <w:pStyle w:val="Heading2"/>
      </w:pPr>
      <w:r>
        <w:t>How to move from pilots to a scaled GRC operating model</w:t>
      </w:r>
      <w:r/>
    </w:p>
    <w:p>
      <w:r/>
      <w:r>
        <w:t>Start with the highest‑value bottlenecks , the assessments that create the greatest risk if delayed, or the vendor reviews that always lag. Codify the decision logic for those tasks, embed it into workflow, and introduce AI agents to carry out routine elements under human oversight. Monitor outcomes, tweak the rules and expand incrementally.</w:t>
      </w:r>
      <w:r/>
    </w:p>
    <w:p>
      <w:r/>
      <w:r>
        <w:t>Combine that with targeted hiring where nuance matters, and consider specialist partners for overflow rather than expecting headcount alone to close the gap. The organisations that win are those that reframe GRC from a cost centre into an execution engine that supports growth and resilience.</w:t>
      </w:r>
      <w:r/>
    </w:p>
    <w:p>
      <w:r/>
      <w:r>
        <w:t>It's a small change that can make every compliance programme move faster without losing its bearings.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2">
        <w:r>
          <w:rPr>
            <w:color w:val="0000EE"/>
            <w:u w:val="single"/>
          </w:rPr>
          <w:t>[5]</w:t>
        </w:r>
      </w:hyperlink>
      <w:r>
        <w:t xml:space="preserve">- Paragraph 4: </w:t>
      </w:r>
      <w:hyperlink r:id="rId11">
        <w:r>
          <w:rPr>
            <w:color w:val="0000EE"/>
            <w:u w:val="single"/>
          </w:rPr>
          <w:t>[3]</w:t>
        </w:r>
      </w:hyperlink>
      <w:r>
        <w:t xml:space="preserve">, </w:t>
      </w:r>
      <w:hyperlink r:id="rId13">
        <w:r>
          <w:rPr>
            <w:color w:val="0000EE"/>
            <w:u w:val="single"/>
          </w:rPr>
          <w:t>[4]</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https://www.teiss.co.uk/news/why-governance-risk-and-compliance-needs-a-new-operating-model-built-for-scale</w:t>
        </w:r>
      </w:hyperlink>
      <w:r>
        <w:t xml:space="preserve"> - Please view link - unable to able to access data</w:t>
      </w:r>
      <w:r/>
    </w:p>
    <w:p>
      <w:pPr>
        <w:pStyle w:val="ListNumber"/>
        <w:spacing w:line="240" w:lineRule="auto"/>
        <w:ind w:left="720"/>
      </w:pPr>
      <w:r/>
      <w:hyperlink r:id="rId10">
        <w:r>
          <w:rPr>
            <w:color w:val="0000EE"/>
            <w:u w:val="single"/>
          </w:rPr>
          <w:t>https://www.gartner.com/en/newsroom/press-releases/2026-02-17-gartner-global-ai-regulations-fuel-billion-dollar-market-for-ai-governance-platforms</w:t>
        </w:r>
      </w:hyperlink>
      <w:r>
        <w:t xml:space="preserve"> - Gartner's report highlights the escalating costs of unmanaged AI risks, projecting that by 2030, fragmented AI regulations will extend to 75% of global economies, driving AI governance spending to over $1 billion. This surge underscores the critical need for AI governance platforms, with expenditures expected to reach $492 million in 2026. The report emphasizes the importance of organizations reassessing their tools and strategies to effectively manage both regulatory and operational risks associated with AI integration.</w:t>
      </w:r>
      <w:r/>
    </w:p>
    <w:p>
      <w:pPr>
        <w:pStyle w:val="ListNumber"/>
        <w:spacing w:line="240" w:lineRule="auto"/>
        <w:ind w:left="720"/>
      </w:pPr>
      <w:r/>
      <w:hyperlink r:id="rId11">
        <w:r>
          <w:rPr>
            <w:color w:val="0000EE"/>
            <w:u w:val="single"/>
          </w:rPr>
          <w:t>https://www.techradar.com/pro/how-ai-is-reshaping-compliance-why-governance-still-matters</w:t>
        </w:r>
      </w:hyperlink>
      <w:r>
        <w:t xml:space="preserve"> - This article discusses the integration of AI into enterprise compliance, risk management, and cybersecurity operations. It notes that AI tools are now automating audits, monitoring regulatory controls, and managing risk programs at scale. While AI enhances efficiency, it also introduces governance challenges, such as concerns about accountability, decision-making accuracy, and model bias. The piece advocates for robust governance frameworks that balance AI's benefits with regulatory compliance and ethical considerations.</w:t>
      </w:r>
      <w:r/>
    </w:p>
    <w:p>
      <w:pPr>
        <w:pStyle w:val="ListNumber"/>
        <w:spacing w:line="240" w:lineRule="auto"/>
        <w:ind w:left="720"/>
      </w:pPr>
      <w:r/>
      <w:hyperlink r:id="rId13">
        <w:r>
          <w:rPr>
            <w:color w:val="0000EE"/>
            <w:u w:val="single"/>
          </w:rPr>
          <w:t>https://www.thomsonreuters.com/en-us/posts/corporates/ai-governance-risk-compliance-programs/</w:t>
        </w:r>
      </w:hyperlink>
      <w:r>
        <w:t xml:space="preserve"> - Thomson Reuters explores the role of AI in corporate governance, risk management, and compliance (GRC). The article highlights AI's potential in fraud detection and protection, emphasizing its integration into GRC software platforms. It discusses how AI can automate tasks like drafting internal documents and policies, and its broader applications in processing and analyzing unstructured data sets, thereby enhancing the effectiveness and efficiency of GRC functions.</w:t>
      </w:r>
      <w:r/>
    </w:p>
    <w:p>
      <w:pPr>
        <w:pStyle w:val="ListNumber"/>
        <w:spacing w:line="240" w:lineRule="auto"/>
        <w:ind w:left="720"/>
      </w:pPr>
      <w:r/>
      <w:hyperlink r:id="rId12">
        <w:r>
          <w:rPr>
            <w:color w:val="0000EE"/>
            <w:u w:val="single"/>
          </w:rPr>
          <w:t>https://www.accorian.com/ai-in-compliance/</w:t>
        </w:r>
      </w:hyperlink>
      <w:r>
        <w:t xml:space="preserve"> - Accorian's article examines the transformative impact of AI on compliance programs. It describes AI as evolving from an experimental capability to the operational layer of modern compliance, automating control monitoring, accelerating risk detection, and enabling real-time decision-making. The piece highlights AI's role in addressing expanding regulatory obligations, rising audit complexity, and sophisticated cyber threats, positioning AI as central to proactive and predictive compliance strategies.</w:t>
      </w:r>
      <w:r/>
    </w:p>
    <w:p>
      <w:pPr>
        <w:pStyle w:val="ListNumber"/>
        <w:spacing w:line="240" w:lineRule="auto"/>
        <w:ind w:left="720"/>
      </w:pPr>
      <w:r/>
      <w:hyperlink r:id="rId14">
        <w:r>
          <w:rPr>
            <w:color w:val="0000EE"/>
            <w:u w:val="single"/>
          </w:rPr>
          <w:t>https://www.kpmg.com/us/en/articles/2023/ten-key-regulatory-challenges-2024.html</w:t>
        </w:r>
      </w:hyperlink>
      <w:r>
        <w:t xml:space="preserve"> - KPMG outlines ten key regulatory challenges anticipated for 2024, including heightened regulatory intensity due to economic fluctuations and legal actions. The article emphasizes the need for robust risk management and governance frameworks, focusing on agility and mitigation of compliance shocks. It also highlights the importance of demonstrating sustainability in risk functions and embedding risk management across organizational pillars to navigate the evolving regulatory landscape effectively.</w:t>
      </w:r>
      <w:r/>
    </w:p>
    <w:p>
      <w:pPr>
        <w:pStyle w:val="ListNumber"/>
        <w:spacing w:line="240" w:lineRule="auto"/>
        <w:ind w:left="720"/>
      </w:pPr>
      <w:r/>
      <w:hyperlink r:id="rId15">
        <w:r>
          <w:rPr>
            <w:color w:val="0000EE"/>
            <w:u w:val="single"/>
          </w:rPr>
          <w:t>https://www.governxis.com/</w:t>
        </w:r>
      </w:hyperlink>
      <w:r>
        <w:t xml:space="preserve"> - GovernXis offers an enterprise platform for AI governance, risk management, and regulatory compliance, aligning with frameworks like the EU AI Act and ISO 42001. The platform provides features such as AI discovery, a central AI registry, and tools to quantify AI risk in financial and business terms. It aims to assist organizations in managing AI systems across their infrastructure, ensuring compliance, and maintaining audit readiness through a comprehensive governance lifecycle.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iss.co.uk/news/why-governance-risk-and-compliance-needs-a-new-operating-model-built-for-scale" TargetMode="External"/><Relationship Id="rId10" Type="http://schemas.openxmlformats.org/officeDocument/2006/relationships/hyperlink" Target="https://www.gartner.com/en/newsroom/press-releases/2026-02-17-gartner-global-ai-regulations-fuel-billion-dollar-market-for-ai-governance-platforms" TargetMode="External"/><Relationship Id="rId11" Type="http://schemas.openxmlformats.org/officeDocument/2006/relationships/hyperlink" Target="https://www.techradar.com/pro/how-ai-is-reshaping-compliance-why-governance-still-matters" TargetMode="External"/><Relationship Id="rId12" Type="http://schemas.openxmlformats.org/officeDocument/2006/relationships/hyperlink" Target="https://www.accorian.com/ai-in-compliance/" TargetMode="External"/><Relationship Id="rId13" Type="http://schemas.openxmlformats.org/officeDocument/2006/relationships/hyperlink" Target="https://www.thomsonreuters.com/en-us/posts/corporates/ai-governance-risk-compliance-programs/" TargetMode="External"/><Relationship Id="rId14" Type="http://schemas.openxmlformats.org/officeDocument/2006/relationships/hyperlink" Target="https://www.kpmg.com/us/en/articles/2023/ten-key-regulatory-challenges-2024.html" TargetMode="External"/><Relationship Id="rId15" Type="http://schemas.openxmlformats.org/officeDocument/2006/relationships/hyperlink" Target="https://www.governxi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