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InsurTech Trends 2026: Why AI-Labelled Startups Are Winning Investment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capital are pouring money into AI-first InsurTechs , investors backed USD 1.63 billion in Q1 2026 , and that shift matters for insurers, brokers and anyone watching cyber and AI-liability risk evolve. Here’s what to know, why it’s happening and how to judge the winners.</w:t>
      </w:r>
      <w:r/>
    </w:p>
    <w:p>
      <w:r/>
      <w:r>
        <w:t>Essential Takeaways</w:t>
      </w:r>
      <w:r/>
      <w:r/>
    </w:p>
    <w:p>
      <w:pPr>
        <w:pStyle w:val="ListBullet"/>
        <w:spacing w:line="240" w:lineRule="auto"/>
        <w:ind w:left="720"/>
      </w:pPr>
      <w:r/>
      <w:r>
        <w:rPr>
          <w:b/>
        </w:rPr>
        <w:t>Big picture:</w:t>
      </w:r>
      <w:r>
        <w:t xml:space="preserve"> Q1 2026 InsurTech funding reached USD 1.63bn, near Q4 2025’s USD 1.67bn and the strongest back-to-back quarters since Q3 2022. </w:t>
      </w:r>
      <w:r/>
    </w:p>
    <w:p>
      <w:pPr>
        <w:pStyle w:val="ListBullet"/>
        <w:spacing w:line="240" w:lineRule="auto"/>
        <w:ind w:left="720"/>
      </w:pPr>
      <w:r/>
      <w:r>
        <w:rPr>
          <w:b/>
        </w:rPr>
        <w:t>AI dominance:</w:t>
      </w:r>
      <w:r>
        <w:t xml:space="preserve"> AI-labelled companies took 95.2% of capital, raising USD 1.55bn across 68 deals; the average AI deal was about USD 25.8m. </w:t>
      </w:r>
      <w:r/>
    </w:p>
    <w:p>
      <w:pPr>
        <w:pStyle w:val="ListBullet"/>
        <w:spacing w:line="240" w:lineRule="auto"/>
        <w:ind w:left="720"/>
      </w:pPr>
      <w:r/>
      <w:r>
        <w:rPr>
          <w:b/>
        </w:rPr>
        <w:t>Early-stage surge:</w:t>
      </w:r>
      <w:r>
        <w:t xml:space="preserve"> Seed and Series A investment jumped 36.1% quarter-on-quarter to USD 548.5m, with early-stage deal sizes growing sharply. </w:t>
      </w:r>
      <w:r/>
    </w:p>
    <w:p>
      <w:pPr>
        <w:pStyle w:val="ListBullet"/>
        <w:spacing w:line="240" w:lineRule="auto"/>
        <w:ind w:left="720"/>
      </w:pPr>
      <w:r/>
      <w:r>
        <w:rPr>
          <w:b/>
        </w:rPr>
        <w:t>Line shifts:</w:t>
      </w:r>
      <w:r>
        <w:t xml:space="preserve"> Life &amp; Health InsurTech funding nearly doubled to USD 719m, while Property &amp; Casualty fell 31% to USD 907m, though P&amp;C deal sizes stayed steady. </w:t>
      </w:r>
      <w:r/>
    </w:p>
    <w:p>
      <w:pPr>
        <w:pStyle w:val="ListBullet"/>
        <w:spacing w:line="240" w:lineRule="auto"/>
        <w:ind w:left="720"/>
      </w:pPr>
      <w:r/>
      <w:r>
        <w:rPr>
          <w:b/>
        </w:rPr>
        <w:t>Emerging need:</w:t>
      </w:r>
      <w:r>
        <w:t xml:space="preserve"> Insurers are racing to design AI liability cover as AI use spreads into high-risk sectors like health care and finance.</w:t>
      </w:r>
      <w:r/>
      <w:r/>
    </w:p>
    <w:p>
      <w:pPr>
        <w:pStyle w:val="Heading2"/>
      </w:pPr>
      <w:r>
        <w:t>AI is eating the InsurTech funding pie , and it looks pretty tasty</w:t>
      </w:r>
      <w:r/>
    </w:p>
    <w:p>
      <w:r/>
      <w:r>
        <w:t>Investors clearly prefer startups that wear AI on their sleeve, and you can almost feel the momentum when you read the numbers. Gallagher Re reports that almost all funding in Q1 flowed to AI-labelled firms, with the ten largest rounds all tied to AI applications. That’s a sensory moment for the market , deals feel heavier and more headline-grabbing when AI is attached.</w:t>
      </w:r>
      <w:r/>
    </w:p>
    <w:p>
      <w:r/>
      <w:r>
        <w:t>This isn’t just hype; average deal sizes for AI startups outpaced the wider sector, suggesting deeper conviction from venture funds and strategic backers. For insurers and brokers, that means more solution providers claiming to solve pricing, underwriting and claims-friction with machine learning and automation.</w:t>
      </w:r>
      <w:r/>
    </w:p>
    <w:p>
      <w:r/>
      <w:r>
        <w:t>Practical tip: when you assess an InsurTech partner, ask for evidence of real-world model performance and data governance , not just an AI logo.</w:t>
      </w:r>
      <w:r/>
    </w:p>
    <w:p>
      <w:pPr>
        <w:pStyle w:val="Heading2"/>
      </w:pPr>
      <w:r>
        <w:t>Early-stage funding is back , and bigger than before</w:t>
      </w:r>
      <w:r/>
    </w:p>
    <w:p>
      <w:r/>
      <w:r>
        <w:t>After years of subdued seed activity, Q1 saw early-stage investment bounce to its highest level since mid-2022. Not only did the dollar amount rise, but the average early-stage deal swelled, signalling that investors are comfortable writing larger cheques earlier.</w:t>
      </w:r>
      <w:r/>
    </w:p>
    <w:p>
      <w:r/>
      <w:r>
        <w:t>That’s good news if you’re a founder or an insurer looking to incubate innovation; it means more runway and potentially faster product development. But it also raises the bar for execution , with more cash comes higher expectations around growth and compliance.</w:t>
      </w:r>
      <w:r/>
    </w:p>
    <w:p>
      <w:r/>
      <w:r>
        <w:t>Practical tip: founders should prioritise accountable ML practices and regulatory-readiness early; investors are favouring teams that can show governance as well as growth.</w:t>
      </w:r>
      <w:r/>
    </w:p>
    <w:p>
      <w:pPr>
        <w:pStyle w:val="Heading2"/>
      </w:pPr>
      <w:r>
        <w:t>Life &amp; Health gets the spotlight while P&amp;C normalises</w:t>
      </w:r>
      <w:r/>
    </w:p>
    <w:p>
      <w:r/>
      <w:r>
        <w:t>Funding flows shifted by line of business in Q1. Life and Health InsurTechs almost doubled their haul to roughly USD 719m, helped by some larger deals. Meanwhile, Property &amp; Casualty funding dipped by about 31% to USD 907m, though average P&amp;C deal value stayed around USD 20.2m.</w:t>
      </w:r>
      <w:r/>
    </w:p>
    <w:p>
      <w:r/>
      <w:r>
        <w:t>That mirrors broader market themes: AI is proving particularly attractive where personalised pricing, telehealth and risk-prediction can unlock new services, while P&amp;C remains steady but less headline-hungry this quarter.</w:t>
      </w:r>
      <w:r/>
    </w:p>
    <w:p>
      <w:r/>
      <w:r>
        <w:t>Practical tip: if you’re buyer-side in P&amp;C, don’t assume fewer deals means fewer innovations , look for steady, focused tools that improve underwriting or claims workflows.</w:t>
      </w:r>
      <w:r/>
    </w:p>
    <w:p>
      <w:pPr>
        <w:pStyle w:val="Heading2"/>
      </w:pPr>
      <w:r>
        <w:t>AI liability insurance is moving from theoretical to installable product</w:t>
      </w:r>
      <w:r/>
    </w:p>
    <w:p>
      <w:r/>
      <w:r>
        <w:t>Gallagher Re is explicitly flagging AI liability as the next big insurance frontier. As organisations embed AI in decision-making , from clinical diagnostics to credit scoring and autonomous operations , they create exposures that don’t sit neatly inside current policies.</w:t>
      </w:r>
      <w:r/>
    </w:p>
    <w:p>
      <w:r/>
      <w:r>
        <w:t>Expect insurers to experiment with endorsements, carve-outs and eventually standalone products mirroring the way cyber insurance matured. The conversation now is operational: better data quality controls, monitoring, and contract language that allocates responsibility.</w:t>
      </w:r>
      <w:r/>
    </w:p>
    <w:p>
      <w:r/>
      <w:r>
        <w:t>Practical tip: risk managers should inventory where AI decisions touch customer outcomes and start conversations with brokers about tailored cover, rather than waiting for incidents.</w:t>
      </w:r>
      <w:r/>
    </w:p>
    <w:p>
      <w:pPr>
        <w:pStyle w:val="Heading2"/>
      </w:pPr>
      <w:r>
        <w:t>What this means for the wider market and what to watch next</w:t>
      </w:r>
      <w:r/>
    </w:p>
    <w:p>
      <w:r/>
      <w:r>
        <w:t>The return of capital into InsurTech suggests investor confidence is rebuilding after several slower years. But the AI label is redefining what counts as InsurTech, with many new businesses positioning themselves as AI-enabled rather than plain digital plays.</w:t>
      </w:r>
      <w:r/>
    </w:p>
    <w:p>
      <w:r/>
      <w:r>
        <w:t>Keep an eye on deal concentration , most capital is going to AI-first names, which could crowd parts of the market and leave practical, non-AI solutions underfunded. Also monitor regulatory developments: as AI liability becomes a commercial reality, legal and compliance shifts will shape product design and pricing.</w:t>
      </w:r>
      <w:r/>
    </w:p>
    <w:p>
      <w:r/>
      <w:r>
        <w:t>Practical tip: insurers should treat AI adoption as a business transformation, not a plug-in. Invest in people, governance and legal frameworks alongside any technology purchase.</w:t>
      </w:r>
      <w:r/>
    </w:p>
    <w:p>
      <w:r/>
      <w:r>
        <w:t>It’s a small change in label that’s changing the game , pick partners who can show both model accuracy and accountability.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[5]</w:t>
        </w:r>
      </w:hyperlink>
      <w:r>
        <w:t xml:space="preserve">, </w:t>
      </w:r>
      <w:hyperlink r:id="rId12">
        <w:r>
          <w:rPr>
            <w:color w:val="0000EE"/>
            <w:u w:val="single"/>
          </w:rPr>
          <w:t>[6]</w:t>
        </w:r>
      </w:hyperlink>
      <w:r>
        <w:t xml:space="preserve">- Paragraph 4: </w:t>
      </w:r>
      <w:hyperlink r:id="rId9">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https://www.reinsurancene.ws/global-insurtech-funding-holds-firm-as-ai-dominates-q126-investment-gallagher-re/</w:t>
        </w:r>
      </w:hyperlink>
      <w:r>
        <w:t xml:space="preserve"> - Please view link - unable to able to access data</w:t>
      </w:r>
      <w:r/>
    </w:p>
    <w:p>
      <w:pPr>
        <w:pStyle w:val="ListNumber"/>
        <w:spacing w:line="240" w:lineRule="auto"/>
        <w:ind w:left="720"/>
      </w:pPr>
      <w:r/>
      <w:hyperlink r:id="rId10">
        <w:r>
          <w:rPr>
            <w:color w:val="0000EE"/>
            <w:u w:val="single"/>
          </w:rPr>
          <w:t>https://www.theinsurer.com/ti/news/gallagher-re-ai-centered-companies-claim-record-95-of-global-insurtech-funding-2026-05-07/</w:t>
        </w:r>
      </w:hyperlink>
      <w:r>
        <w:t xml:space="preserve"> - In the first quarter of 2026, AI-labelled InsurTech companies secured 95.2% of global InsurTech funding, amounting to $1.55 billion across 68 deals. This marks the highest proportion recorded to date, indicating a sustained improvement in investor appetite across the sector. (</w:t>
      </w:r>
      <w:hyperlink r:id="rId14">
        <w:r>
          <w:rPr>
            <w:color w:val="0000EE"/>
            <w:u w:val="single"/>
          </w:rPr>
          <w:t>theinsurer.com</w:t>
        </w:r>
      </w:hyperlink>
      <w:r>
        <w:t>)</w:t>
      </w:r>
      <w:r/>
    </w:p>
    <w:p>
      <w:pPr>
        <w:pStyle w:val="ListNumber"/>
        <w:spacing w:line="240" w:lineRule="auto"/>
        <w:ind w:left="720"/>
      </w:pPr>
      <w:r/>
      <w:hyperlink r:id="rId9">
        <w:r>
          <w:rPr>
            <w:color w:val="0000EE"/>
            <w:u w:val="single"/>
          </w:rPr>
          <w:t>https://www.reinsurancene.ws/global-insurtech-funding-holds-firm-as-ai-dominates-q126-investment-gallagher-re/</w:t>
        </w:r>
      </w:hyperlink>
      <w:r>
        <w:t xml:space="preserve"> - Gallagher Re reports that worldwide InsurTech funding remained strong in Q1 2026, with total investments of $1.63 billion. AI-labelled InsurTech companies accounted for 95.2% of this funding, the highest proportion recorded to date. (</w:t>
      </w:r>
      <w:hyperlink r:id="rId15">
        <w:r>
          <w:rPr>
            <w:color w:val="0000EE"/>
            <w:u w:val="single"/>
          </w:rPr>
          <w:t>reinsurancene.ws</w:t>
        </w:r>
      </w:hyperlink>
      <w:r>
        <w:t>)</w:t>
      </w:r>
      <w:r/>
    </w:p>
    <w:p>
      <w:pPr>
        <w:pStyle w:val="ListNumber"/>
        <w:spacing w:line="240" w:lineRule="auto"/>
        <w:ind w:left="720"/>
      </w:pPr>
      <w:r/>
      <w:hyperlink r:id="rId16">
        <w:r>
          <w:rPr>
            <w:color w:val="0000EE"/>
            <w:u w:val="single"/>
          </w:rPr>
          <w:t>https://www.insurancejournal.com/magazines/mag-features/2026/03/09/860638.htm</w:t>
        </w:r>
      </w:hyperlink>
      <w:r>
        <w:t xml:space="preserve"> - In 2025, global InsurTech funding rose by 19.5% to $5.08 billion, marking the first annual increase since 2021. The surge was driven by growing investments from insurers and reinsurers, funding for AI-focused InsurTechs, and the return of mega-rounds. (</w:t>
      </w:r>
      <w:hyperlink r:id="rId17">
        <w:r>
          <w:rPr>
            <w:color w:val="0000EE"/>
            <w:u w:val="single"/>
          </w:rPr>
          <w:t>insurancejournal.com</w:t>
        </w:r>
      </w:hyperlink>
      <w:r>
        <w:t>)</w:t>
      </w:r>
      <w:r/>
    </w:p>
    <w:p>
      <w:pPr>
        <w:pStyle w:val="ListNumber"/>
        <w:spacing w:line="240" w:lineRule="auto"/>
        <w:ind w:left="720"/>
      </w:pPr>
      <w:r/>
      <w:hyperlink r:id="rId11">
        <w:r>
          <w:rPr>
            <w:color w:val="0000EE"/>
            <w:u w:val="single"/>
          </w:rPr>
          <w:t>https://reinasia.com/aifocused-firms-dominate-us1-63bn-insurtech-funding-in-q1-2026-gallagher-re/</w:t>
        </w:r>
      </w:hyperlink>
      <w:r>
        <w:t xml:space="preserve"> - In Q1 2026, AI-focused InsurTech firms dominated the $1.63 billion funding, with Life and Health InsurTech funding nearly doubling sequentially. Early-stage investment rose by 36.1% from the previous quarter. (</w:t>
      </w:r>
      <w:hyperlink r:id="rId18">
        <w:r>
          <w:rPr>
            <w:color w:val="0000EE"/>
            <w:u w:val="single"/>
          </w:rPr>
          <w:t>reinasia.com</w:t>
        </w:r>
      </w:hyperlink>
      <w:r>
        <w:t>)</w:t>
      </w:r>
      <w:r/>
    </w:p>
    <w:p>
      <w:pPr>
        <w:pStyle w:val="ListNumber"/>
        <w:spacing w:line="240" w:lineRule="auto"/>
        <w:ind w:left="720"/>
      </w:pPr>
      <w:r/>
      <w:hyperlink r:id="rId12">
        <w:r>
          <w:rPr>
            <w:color w:val="0000EE"/>
            <w:u w:val="single"/>
          </w:rPr>
          <w:t>https://www.carriermanagement.com/news/2026/02/19/284727.htm</w:t>
        </w:r>
      </w:hyperlink>
      <w:r>
        <w:t xml:space="preserve"> - In 2025, global InsurTech funding increased by 19.5% to $5.08 billion, marking the first annual rise since 2021. The growth was driven by investments from insurers and reinsurers, funding for AI-focused InsurTechs, and the return of mega-rounds. (</w:t>
      </w:r>
      <w:hyperlink r:id="rId19">
        <w:r>
          <w:rPr>
            <w:color w:val="0000EE"/>
            <w:u w:val="single"/>
          </w:rPr>
          <w:t>carriermanagement.com</w:t>
        </w:r>
      </w:hyperlink>
      <w:r>
        <w:t>)</w:t>
      </w:r>
      <w:r/>
    </w:p>
    <w:p>
      <w:pPr>
        <w:pStyle w:val="ListNumber"/>
        <w:spacing w:line="240" w:lineRule="auto"/>
        <w:ind w:left="720"/>
      </w:pPr>
      <w:r/>
      <w:hyperlink r:id="rId13">
        <w:r>
          <w:rPr>
            <w:color w:val="0000EE"/>
            <w:u w:val="single"/>
          </w:rPr>
          <w:t>https://insurabeat.com/global-insurtech-funding-rises-27-to-943m-in-q1-2026-with-ai-accounting-for-three-quarters-of-capital-3/</w:t>
        </w:r>
      </w:hyperlink>
      <w:r>
        <w:t xml:space="preserve"> - In Q1 2026, global InsurTech investment reached $943.4 million across 42 deals, a 27% year-on-year increase. Approximately 75% of capital flowed to AI-focused companies, indicating a structural reorientation in investor preferences. (</w:t>
      </w:r>
      <w:hyperlink r:id="rId20">
        <w:r>
          <w:rPr>
            <w:color w:val="0000EE"/>
            <w:u w:val="single"/>
          </w:rPr>
          <w:t>insurabeat.com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insurancene.ws/global-insurtech-funding-holds-firm-as-ai-dominates-q126-investment-gallagher-re/" TargetMode="External"/><Relationship Id="rId10" Type="http://schemas.openxmlformats.org/officeDocument/2006/relationships/hyperlink" Target="https://www.theinsurer.com/ti/news/gallagher-re-ai-centered-companies-claim-record-95-of-global-insurtech-funding-2026-05-07/" TargetMode="External"/><Relationship Id="rId11" Type="http://schemas.openxmlformats.org/officeDocument/2006/relationships/hyperlink" Target="https://reinasia.com/aifocused-firms-dominate-us1-63bn-insurtech-funding-in-q1-2026-gallagher-re/" TargetMode="External"/><Relationship Id="rId12" Type="http://schemas.openxmlformats.org/officeDocument/2006/relationships/hyperlink" Target="https://www.carriermanagement.com/news/2026/02/19/284727.htm" TargetMode="External"/><Relationship Id="rId13" Type="http://schemas.openxmlformats.org/officeDocument/2006/relationships/hyperlink" Target="https://insurabeat.com/global-insurtech-funding-rises-27-to-943m-in-q1-2026-with-ai-accounting-for-three-quarters-of-capital-3/" TargetMode="External"/><Relationship Id="rId14" Type="http://schemas.openxmlformats.org/officeDocument/2006/relationships/hyperlink" Target="https://www.theinsurer.com/ti/news/gallagher-re-ai-centered-companies-claim-record-95-of-global-insurtech-funding-2026-05-07/?utm_source=openai" TargetMode="External"/><Relationship Id="rId15" Type="http://schemas.openxmlformats.org/officeDocument/2006/relationships/hyperlink" Target="https://www.reinsurancene.ws/global-insurtech-funding-holds-firm-as-ai-dominates-q126-investment-gallagher-re/?utm_source=openai" TargetMode="External"/><Relationship Id="rId16" Type="http://schemas.openxmlformats.org/officeDocument/2006/relationships/hyperlink" Target="https://www.insurancejournal.com/magazines/mag-features/2026/03/09/860638.htm" TargetMode="External"/><Relationship Id="rId17" Type="http://schemas.openxmlformats.org/officeDocument/2006/relationships/hyperlink" Target="https://www.insurancejournal.com/magazines/mag-features/2026/03/09/860638.htm?utm_source=openai" TargetMode="External"/><Relationship Id="rId18" Type="http://schemas.openxmlformats.org/officeDocument/2006/relationships/hyperlink" Target="https://reinasia.com/aifocused-firms-dominate-us1-63bn-insurtech-funding-in-q1-2026-gallagher-re/?utm_source=openai" TargetMode="External"/><Relationship Id="rId19" Type="http://schemas.openxmlformats.org/officeDocument/2006/relationships/hyperlink" Target="https://www.carriermanagement.com/news/2026/02/19/284727.htm?utm_source=openai" TargetMode="External"/><Relationship Id="rId20" Type="http://schemas.openxmlformats.org/officeDocument/2006/relationships/hyperlink" Target="https://insurabeat.com/global-insurtech-funding-rises-27-to-943m-in-q1-2026-with-ai-accounting-for-three-quarters-of-capital-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