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Premium Finance Moves for Brokers and Customers After FCA Scrutiny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brokers alike have been watching premium finance firms reshuffle in response to fresh FCA attention; here’s how Close Brothers’ recent decisions affect customers, brokers and the market as a whole.</w:t>
      </w:r>
      <w:r/>
    </w:p>
    <w:p>
      <w:r/>
      <w:r>
        <w:t>Essential Takeaways</w:t>
      </w:r>
      <w:r/>
      <w:r/>
    </w:p>
    <w:p>
      <w:pPr>
        <w:pStyle w:val="ListBullet"/>
        <w:spacing w:line="240" w:lineRule="auto"/>
        <w:ind w:left="720"/>
      </w:pPr>
      <w:r/>
      <w:r>
        <w:rPr>
          <w:b/>
        </w:rPr>
        <w:t>Reversed rule:</w:t>
      </w:r>
      <w:r>
        <w:t xml:space="preserve"> Close Brothers introduced then withdrew a commission disclosure and commercial consent step, signalling the tension between transparency and practical distribution. </w:t>
      </w:r>
      <w:r/>
    </w:p>
    <w:p>
      <w:pPr>
        <w:pStyle w:val="ListBullet"/>
        <w:spacing w:line="240" w:lineRule="auto"/>
        <w:ind w:left="720"/>
      </w:pPr>
      <w:r/>
      <w:r>
        <w:rPr>
          <w:b/>
        </w:rPr>
        <w:t>Personal lines trimmed:</w:t>
      </w:r>
      <w:r>
        <w:t xml:space="preserve"> The firm has scaled back parts of its personal lines offering, favouring commercial and core broker relationships. </w:t>
      </w:r>
      <w:r/>
    </w:p>
    <w:p>
      <w:pPr>
        <w:pStyle w:val="ListBullet"/>
        <w:spacing w:line="240" w:lineRule="auto"/>
        <w:ind w:left="720"/>
      </w:pPr>
      <w:r/>
      <w:r>
        <w:rPr>
          <w:b/>
        </w:rPr>
        <w:t>Regulatory response:</w:t>
      </w:r>
      <w:r>
        <w:t xml:space="preserve"> The FCA’s premium finance review is steering firms towards clearer customer outcomes and stronger governance. </w:t>
      </w:r>
      <w:r/>
    </w:p>
    <w:p>
      <w:pPr>
        <w:pStyle w:val="ListBullet"/>
        <w:spacing w:line="240" w:lineRule="auto"/>
        <w:ind w:left="720"/>
      </w:pPr>
      <w:r/>
      <w:r>
        <w:rPr>
          <w:b/>
        </w:rPr>
        <w:t>Tech and partnerships:</w:t>
      </w:r>
      <w:r>
        <w:t xml:space="preserve"> Expect greater reliance on digital tooling and strategic broker alliances to drive post-2026 growth. </w:t>
      </w:r>
      <w:r/>
      <w:r/>
    </w:p>
    <w:p>
      <w:pPr>
        <w:pStyle w:val="Heading2"/>
      </w:pPr>
      <w:r>
        <w:t>Why Close Brothers’ U‑turn matters now</w:t>
      </w:r>
      <w:r/>
    </w:p>
    <w:p>
      <w:r/>
      <w:r>
        <w:t>Close Brothers moved to require commercial customer consent and extra commission disclosure late in 2024, then walked that change back , a practical, visible example of how firms are testing new controls while grappling with distribution realities. The reversal highlights a classic trade-off: provide more transparency and risk disrupting broker flows, or step back to preserve established relationships. For customers who noticed extra forms or clearer cost breakdowns, the episode felt like progress; for brokers it was sometimes clunky and time‑consuming.</w:t>
      </w:r>
      <w:r/>
    </w:p>
    <w:p>
      <w:r/>
      <w:r>
        <w:t>The move and its reversal tell you a lot about the sector’s mood. Providers are experimenting , nudged by regulators , but they’re also mindful that heavy‑handed changes can slow business and confuse buyers. If you’re a broker, expect firms to pilot tweaks rather than roll out radical shifts overnight.</w:t>
      </w:r>
      <w:r/>
    </w:p>
    <w:p>
      <w:pPr>
        <w:pStyle w:val="Heading2"/>
      </w:pPr>
      <w:r>
        <w:t>Trimming personal lines: a strategic pivot</w:t>
      </w:r>
      <w:r/>
    </w:p>
    <w:p>
      <w:r/>
      <w:r>
        <w:t>Close Brothers has de‑emphasised parts of its personal lines portfolio, refocusing resources where margins, risk appetite and broker appetite better align. That shift means some retail customers may see fewer product options through certain brokers, but it allows the lender to concentrate on segments where they can deliver consistent outcomes.</w:t>
      </w:r>
      <w:r/>
    </w:p>
    <w:p>
      <w:r/>
      <w:r>
        <w:t>For brokers, the lesson is practical: align with lenders that share your customer mix. If you specialise in commercial risks or complex commercial finance, the refocus could improve service levels; if your book is primarily personal lines, it may be time to re‑assess panel choices and pricing options.</w:t>
      </w:r>
      <w:r/>
    </w:p>
    <w:p>
      <w:pPr>
        <w:pStyle w:val="Heading2"/>
      </w:pPr>
      <w:r>
        <w:t>FCA pressure is reshaping market behaviour</w:t>
      </w:r>
      <w:r/>
    </w:p>
    <w:p>
      <w:r/>
      <w:r>
        <w:t>The Financial Conduct Authority has been clear that premium finance deserves scrutiny , and the market is reacting. Firms are tightening governance, paying more attention to customer outcomes and documenting distribution practices more carefully. The FCA’s review has become the lodestar for how providers think about disclosure, affordability and product governance.</w:t>
      </w:r>
      <w:r/>
    </w:p>
    <w:p>
      <w:r/>
      <w:r>
        <w:t>This isn’t just paperwork. Better controls can lead to fairer pricing and reduced complaints, but they also require investment in systems and training. Brokers should expect more questions and more evidence of suitability from their finance partners.</w:t>
      </w:r>
      <w:r/>
    </w:p>
    <w:p>
      <w:pPr>
        <w:pStyle w:val="Heading2"/>
      </w:pPr>
      <w:r>
        <w:t>Technology and broker partnerships will drive the next phase</w:t>
      </w:r>
      <w:r/>
    </w:p>
    <w:p>
      <w:r/>
      <w:r>
        <w:t>Looking ahead to 2026 and beyond, Close Brothers and peers see technology and closer broker collaboration as the engines of sustainable growth. Smarter portals, automated affordability checks and clearer, digital disclosures can reduce friction while improving compliance. Partnerships will matter too: providers that integrate tightly with brokers’ workflows will win more business.</w:t>
      </w:r>
      <w:r/>
    </w:p>
    <w:p>
      <w:r/>
      <w:r>
        <w:t>If you’re advising customers, push for digital tools that speed quotes and make costs obvious. For brokers, demand APIs and workflow integrations; the right tech can keep compliance light and service fast.</w:t>
      </w:r>
      <w:r/>
    </w:p>
    <w:p>
      <w:pPr>
        <w:pStyle w:val="Heading2"/>
      </w:pPr>
      <w:r>
        <w:t>Practical tips for brokers and customers today</w:t>
      </w:r>
      <w:r/>
    </w:p>
    <w:p>
      <w:r/>
      <w:r>
        <w:t>Brokers: review your panels and pick lenders whose strategy matches your book; insist on clear integration timelines before moving client journeys. Keep copies of disclosures and consent logs if you’re testing new processes. Customers: ask how finance impacts total premium cost, get written repayment terms and check whether any new consent steps are optional or mandatory. If something smells off , hidden fees or excessive pressing to accept finance , pause and ask for alternatives.</w:t>
      </w:r>
      <w:r/>
    </w:p>
    <w:p>
      <w:r/>
      <w:r>
        <w:t>Close Brothers’ recent choices are a microcosm of a market in transition: cautious, regulated and increasingly technological. That’s not bad news; it’s a nudge towards clarity and resilience.</w:t>
      </w:r>
      <w:r/>
    </w:p>
    <w:p>
      <w:r/>
      <w:r>
        <w:t>It’s a small shift that could make every finance deal clearer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5">
        <w:r>
          <w:rPr>
            <w:color w:val="0000EE"/>
            <w:u w:val="single"/>
          </w:rPr>
          <w:t>[6]</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https://www.insuranceage.co.uk/market-access/7958308/video-qa-shaun-hooper-close-brothers-premium-finance</w:t>
        </w:r>
      </w:hyperlink>
      <w:r>
        <w:t xml:space="preserve"> - Please view link - unable to able to access data</w:t>
      </w:r>
      <w:r/>
    </w:p>
    <w:p>
      <w:pPr>
        <w:pStyle w:val="ListNumber"/>
        <w:spacing w:line="240" w:lineRule="auto"/>
        <w:ind w:left="720"/>
      </w:pPr>
      <w:r/>
      <w:hyperlink r:id="rId10">
        <w:r>
          <w:rPr>
            <w:color w:val="0000EE"/>
            <w:u w:val="single"/>
          </w:rPr>
          <w:t>https://www.insuranceage.co.uk/insight/7957986/close-brothers-reverses-premium-finance-commission-disclosure-requirement</w:t>
        </w:r>
      </w:hyperlink>
      <w:r>
        <w:t xml:space="preserve"> - In February 2026, Close Brothers Premium Finance reversed its earlier decision to require explicit commission consent from commercial customers. This change, effective from 10 March 2026, followed a Supreme Court appeal and the publication of the FCA's Market Study review. The reversal aims to balance regulatory risk, customer outcomes, and broker relationships, while maintaining transparency about commission arrangements.</w:t>
      </w:r>
      <w:r/>
    </w:p>
    <w:p>
      <w:pPr>
        <w:pStyle w:val="ListNumber"/>
        <w:spacing w:line="240" w:lineRule="auto"/>
        <w:ind w:left="720"/>
      </w:pPr>
      <w:r/>
      <w:hyperlink r:id="rId12">
        <w:r>
          <w:rPr>
            <w:color w:val="0000EE"/>
            <w:u w:val="single"/>
          </w:rPr>
          <w:t>https://www.closebrotherspf.com/brokers/strategy-changes</w:t>
        </w:r>
      </w:hyperlink>
      <w:r>
        <w:t xml:space="preserve"> - Close Brothers Premium Finance announced a strategic shift focusing on expanding its commercial lines business. This decision involves phasing out certain personal lines broker relationships over the next 6-12 months. The move aims to align with the company's core values and pursue sustainable growth, while continuing to serve personal lines customers through commercial lines broker partners.</w:t>
      </w:r>
      <w:r/>
    </w:p>
    <w:p>
      <w:pPr>
        <w:pStyle w:val="ListNumber"/>
        <w:spacing w:line="240" w:lineRule="auto"/>
        <w:ind w:left="720"/>
      </w:pPr>
      <w:r/>
      <w:hyperlink r:id="rId11">
        <w:r>
          <w:rPr>
            <w:color w:val="0000EE"/>
            <w:u w:val="single"/>
          </w:rPr>
          <w:t>https://www.closebrotherspf.com/brokers/commission-disclosure-requirements</w:t>
        </w:r>
      </w:hyperlink>
      <w:r>
        <w:t xml:space="preserve"> - Effective from 10 March 2026, Close Brothers Premium Finance will remove the need for explicit commission consent from customers. The company will discontinue its digital commission disclosure solution and implement a new verbal sales script. Despite this change, brokers are still required to inform customers about the existence, nature, and amount of commission received.</w:t>
      </w:r>
      <w:r/>
    </w:p>
    <w:p>
      <w:pPr>
        <w:pStyle w:val="ListNumber"/>
        <w:spacing w:line="240" w:lineRule="auto"/>
        <w:ind w:left="720"/>
      </w:pPr>
      <w:r/>
      <w:hyperlink r:id="rId13">
        <w:r>
          <w:rPr>
            <w:color w:val="0000EE"/>
            <w:u w:val="single"/>
          </w:rPr>
          <w:t>https://www.closebrotherspf.com/customers/strategy-changes</w:t>
        </w:r>
      </w:hyperlink>
      <w:r>
        <w:t xml:space="preserve"> - Due to strategic changes, some customers may find that their insurance broker can no longer offer Close Brothers Premium Finance for future insurance policies. This transition will occur over the next 6-12 months and does not affect existing finance agreements or insurance policies. Customers will be contacted by their brokers at renewal time to discuss available payment options.</w:t>
      </w:r>
      <w:r/>
    </w:p>
    <w:p>
      <w:pPr>
        <w:pStyle w:val="ListNumber"/>
        <w:spacing w:line="240" w:lineRule="auto"/>
        <w:ind w:left="720"/>
      </w:pPr>
      <w:r/>
      <w:hyperlink r:id="rId15">
        <w:r>
          <w:rPr>
            <w:color w:val="0000EE"/>
            <w:u w:val="single"/>
          </w:rPr>
          <w:t>https://www.closebrotherspf.com/close-brothers-signs-five-year-premium-finance-deal-with-hedron</w:t>
        </w:r>
      </w:hyperlink>
      <w:r>
        <w:t xml:space="preserve"> - In January 2024, Close Brothers Premium Finance signed a five-year contract with Brown &amp; Brown’s UK network business, Hedron, to provide financing solutions to Hedron’s partner brokers. The exclusive deal, effective from 1 January 2024, supports both personal and commercial lines customers, with a focus on commercial lines brokers.</w:t>
      </w:r>
      <w:r/>
    </w:p>
    <w:p>
      <w:pPr>
        <w:pStyle w:val="ListNumber"/>
        <w:spacing w:line="240" w:lineRule="auto"/>
        <w:ind w:left="720"/>
      </w:pPr>
      <w:r/>
      <w:hyperlink r:id="rId14">
        <w:r>
          <w:rPr>
            <w:color w:val="0000EE"/>
            <w:u w:val="single"/>
          </w:rPr>
          <w:t>https://www.hfw.com/insights/fca-reports-back-on-premium-finance/</w:t>
        </w:r>
      </w:hyperlink>
      <w:r>
        <w:t xml:space="preserve"> - In February 2026, the Financial Conduct Authority (FCA) published its final report on the Premium Finance Market Study, finding that the cost of premium finance has decreased since 2022. The FCA concluded that it will not introduce a price cap or require that premium finance be provided without interest, indicating a stable regulatory environment for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age.co.uk/market-access/7958308/video-qa-shaun-hooper-close-brothers-premium-finance" TargetMode="External"/><Relationship Id="rId10" Type="http://schemas.openxmlformats.org/officeDocument/2006/relationships/hyperlink" Target="https://www.insuranceage.co.uk/insight/7957986/close-brothers-reverses-premium-finance-commission-disclosure-requirement" TargetMode="External"/><Relationship Id="rId11" Type="http://schemas.openxmlformats.org/officeDocument/2006/relationships/hyperlink" Target="https://www.closebrotherspf.com/brokers/commission-disclosure-requirements" TargetMode="External"/><Relationship Id="rId12" Type="http://schemas.openxmlformats.org/officeDocument/2006/relationships/hyperlink" Target="https://www.closebrotherspf.com/brokers/strategy-changes" TargetMode="External"/><Relationship Id="rId13" Type="http://schemas.openxmlformats.org/officeDocument/2006/relationships/hyperlink" Target="https://www.closebrotherspf.com/customers/strategy-changes" TargetMode="External"/><Relationship Id="rId14" Type="http://schemas.openxmlformats.org/officeDocument/2006/relationships/hyperlink" Target="https://www.hfw.com/insights/fca-reports-back-on-premium-finance/" TargetMode="External"/><Relationship Id="rId15" Type="http://schemas.openxmlformats.org/officeDocument/2006/relationships/hyperlink" Target="https://www.closebrotherspf.com/close-brothers-signs-five-year-premium-finance-deal-with-hedr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