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Protests in Tbilisi Against 'Foreign Agents' Bill Spark Concerns over Free Speech and EU Aspirations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Tbilisi, Georgia, protests have erupted over a contentious "foreign agents" bill, which is advancing towards final approval in the Georgian parliament. On May 13, 2024, despite significant public dissent, the bill swiftly passed a preliminary vote. The bill, resembling Russian legislation, targets organizations receiving over 20% of their funding from foreign entities, requiring them to register as "agents of foreign influence." This has raised concerns about potential crackdowns on free speech and civil liberties.</w:t>
      </w:r>
      <w:r/>
    </w:p>
    <w:p>
      <w:r/>
      <w:r>
        <w:t>The governing party, Georgian Dream, backed by figures influenced by Moscow, is pushing the legislation, which poses a threat to Georgia's European Union accession ambitions. Critics, including the US and EU, argue the law could hinder Georgia's democratic and Euro-Atlantic integration.</w:t>
      </w:r>
      <w:r/>
    </w:p>
    <w:p>
      <w:r/>
      <w:r>
        <w:t>Large-scale protests led by youth groups and opposition parties have taken place, with demonstrators, including students and activists, vowing to intensify their efforts through strikes and continued public presence. With Georgian Dream holding a parliamentary majority, the bill is expected to overcome any presidential veto. President Salome Zourabichvili has opposed the measure, reflecting its divisive impact on Georgian politics and society.</w:t>
      </w:r>
      <w:r/>
    </w:p>
    <w:p>
      <w:r/>
      <w:r>
        <w:t>As the situation develops, international attention remains keen on Georgia's political trajectory and its implications for regional stability and alignment.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