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Federal Budget Increases Funding for AUKUS Submarine Project and Indo-France Cooperation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Australian Federal Budget for 2024 significantly increases funding for the AUKUS nuclear-powered submarine project, with $2.59 billion allocated for the 2024-25 financial year. This intensification in spending is a part of Australia's broader effort under the AUKUS agreement, a tripartite security pact between Australia, the United Kingdom, and the United States. According to the Department of Defence, Australia has already approved $13.6 billion in total for the procurement of submarines, a plan that includes acquiring at least three Virginia-class submarines from the U.S. in the 2030s. </w:t>
      </w:r>
      <w:r/>
    </w:p>
    <w:p>
      <w:r/>
      <w:r>
        <w:t>Furthermore, the budget outlines an aggressive rise in overall defence expenditures, anticipating an increase to 2.3% of GDP by 2033-34 from 2.02% in 2024-25. Additionally, the government plans to address workforce shortages critical to the AUKUS project's success, with measures including the creation of a Skills and Training Academy and 3,000 scholarships for STEM students.</w:t>
      </w:r>
      <w:r/>
    </w:p>
    <w:p>
      <w:r/>
      <w:r>
        <w:t>In related developments, Australia, under the Labor administration of Anthony Albanese, has allocated $21 million to establish a new 'Australia-France Roadmap' for Indo-Pacific cooperation with France. This comes after Australia withdrew from a prior $90 billion submarine deal with France, opting instead for the AUKUS agreement. The move, which had strained Franco-Australian relations, now seeks to mend and enhance bilateral cooperation through initiatives across defense, security, climate action, and cultural education.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