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Announces Tariff Increases on Chinese Goods Including Electric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President Joe Biden announced significant tariff increases on imports of various Chinese goods, including electric vehicles (EVs), which would see tariffs jump from 27.5% to 100%. The new tariffs, set to be implemented over the next two years, also cover steel, aluminum, semiconductors, battery components, critical minerals, solar cells, cranes, and medical products. These measures aim to counteract what the Biden administration and the European Union consider unfair competitive practices by China, including subsidy-fueled overproduction and the dumping of products in global markets.</w:t>
      </w:r>
      <w:r/>
    </w:p>
    <w:p>
      <w:r/>
      <w:r>
        <w:t>In response, China's foreign ministry spokesperson Wang Wenbin declared that China would take "all necessary actions" to defend its interests, emphasizing that China’s advancements in sectors like new energy are due to technological innovation and market competition rather than subsidies. Wang criticized the U.S. tariffs as a violation of World Trade Organization rules.</w:t>
      </w:r>
      <w:r/>
    </w:p>
    <w:p>
      <w:r/>
      <w:r>
        <w:t>Simultaneously, the global carmaker Stellantis announced plans to sell economically priced Chinese-made EVs in European markets, including the UK, beginning in September 2024 with prices starting under €20,000. Stellantis CEO Carlos Tavares criticized the U.S. tariffs for potentially increasing inflation and expressed concerns about growing protectionism which he believes could negatively impact the global automotive industry. The partnership with Chinese EV manufacturer Leapmotor is part of Stellantis’s strategy to capitalize on the competitive Chinese EV market and expand Leapmotor sales globally.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