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to Increase Tariffs on Chinese Imports to Boost American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is set to announce a significant increase in tariffs on Chinese imports, particularly focusing on strategic industries like electric vehicles, semiconductors, and advanced batteries. This decision, scheduled for May 14, 2024, aims to bolster American manufacturing within these sectors. His administration seeks to continue using tariffs initially implemented by former President Donald J. Trump, which includes over $300 billion worth of Chinese goods. Biden's critique of these tariffs during his 2020 presidential campaign contrasts with his current stance, reflecting his strategic focus on protecting key U.S. industries from what the administration perceives as unfair competitive practices by China.</w:t>
      </w:r>
      <w:r/>
    </w:p>
    <w:p>
      <w:r/>
      <w:r>
        <w:t>The specific tariff changes include increasing the tax on Chinese electric vehicles from 25% to 100%, alongside substantial hikes in tariffs on solar cells, semiconductors, and certain metals, with some being doubled and others even quadrupled. This move is framed by the Biden administration as a necessary defense against the potential flooding of the U.S. market with low-cost Chinese goods, particularly in sectors receiving significant U.S. government subsidies.</w:t>
      </w:r>
      <w:r/>
    </w:p>
    <w:p>
      <w:r/>
      <w:r>
        <w:t>Officials have described these measures as narrowly and strategically targeted, as opposed to the broader tariffs favored by Trump. The goal is to protect industries that are crucial to Biden's clean energy goals and to maintain competitiveness against China's heavily subsidized production. These changes have also been influenced by domestic political pressures and the need to secure jobs in key states.</w:t>
      </w:r>
      <w:r/>
    </w:p>
    <w:p>
      <w:r/>
      <w:r>
        <w:t>Responses from the Chinese government indicate that they will take necessary actions to defend their interests, reflecting ongoing global trade tensions. This decision occurs amidst broader discussions on global competitiveness and reflects a significant policy continuation and adjustment from previous U.S. administrations concerning trade with China.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