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Migration Advisory Committee Finds No Widespread Abuse of Graduate Visa Route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Migration Advisory Committee (MAC) has concluded that there is no evidence of widespread abuse of the country's graduate visa route, according to a review. This visa allows international students to remain in the UK for two or three years post-graduation to seek employment. The review, commissioned by Home Secretary James Cleverly amidst concerns voiced by some Conservative members, has recommended that the graduate visa should stay in effect.</w:t>
      </w:r>
      <w:r/>
    </w:p>
    <w:p>
      <w:r/>
      <w:r>
        <w:t>Key findings from the MAC report include the low risk of abuse due to the restricted conditions imposed by the visa and concern over the exploitation of students by some recruitment agents, though these are said not to be directly related to the integrity of the graduate route itself. In 2023, 114,000 graduate visas were issued for primary applicants, with an additional 30,000 for their dependents. The report further identified a significant concentration of visas among nationals from India, Nigeria, China, and Pakistan.</w:t>
      </w:r>
      <w:r/>
    </w:p>
    <w:p>
      <w:r/>
      <w:r>
        <w:t>University leaders have expressed relief over the committee's recommendation, emphasizing the importance of this route in financially supporting UK universities and enabling research. They also called for the government to end uncertainty about the future of this visa and adhere to the MAC's guidance.</w:t>
      </w:r>
      <w:r/>
    </w:p>
    <w:p>
      <w:r/>
      <w:r>
        <w:t>Furthermore, the MAC has called for a mandatory registration system for international student recruitment agents and for universities to publish data on agent practices to safeguard the educational system’s integrity. The government has stated its intention to closely evaluate the findings of this review and will issue a response in due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