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Trade Deficit with China Hits Three-Year Low Amid Rising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EU’s Trade Deficit with China Reaches Lowest Level Since 2021</w:t>
      </w:r>
      <w:r/>
    </w:p>
    <w:p>
      <w:r/>
      <w:r>
        <w:t>The European Union’s trade deficit in goods with China has shrunk to its lowest quarterly level in nearly three years, amidst increasing concerns over an influx of cheap Chinese products. In the first quarter of 2024, the trade deficit fell to €62.5 billion, reflecting a 10% decrease from the previous quarter and an 18% decline from the same period a year ago, according to Eurostat.</w:t>
      </w:r>
      <w:r/>
    </w:p>
    <w:p>
      <w:r/>
      <w:r>
        <w:t>The reduction marks its lowest level since the second quarter of 2021, subsequent to a peak of €107.3 billion in the third quarter of 2022. This shift is attributed to weak domestic demand in Europe and a reversal of post-pandemic consumer spending patterns, largely driven by strong US demand and European economic factors.</w:t>
      </w:r>
      <w:r/>
    </w:p>
    <w:p>
      <w:r/>
      <w:r>
        <w:t>The political landscape around EU-China trade relations remains tense, with European Commission President Ursula von der Leyen and US Treasury Secretary Janet Yellen expressing concerns about China’s market practices. Brussels is investigating allegations of unfair subsidies for Chinese electric vehicles and solar panels, while Yellen has called for the EU to impose additional tariffs on Chinese cleantech exports, echoing US policies.</w:t>
      </w:r>
      <w:r/>
    </w:p>
    <w:p>
      <w:r/>
      <w:r>
        <w:t>Despite these tensions, the EU’s trade surplus with the US reached a record high of €43.6 billion in the first quarter, supported by a 4% increase in exports to the US and a 5% drop in imports from the US. This shift benefits European exporters, particularly in green technology sectors, due to supportive measures like the US Inflation Reduction Act.</w:t>
      </w:r>
      <w:r/>
    </w:p>
    <w:p>
      <w:r/>
      <w:r>
        <w:t>As the EU continues to navigate its trade policies, the balance in machinery and transport equipment trade shows significant improvement, contributing to the lower trade deficit with China. EU imports of these goods from China have decreased steadily, while exports remain stable.</w:t>
      </w:r>
      <w:r/>
    </w:p>
    <w:p>
      <w:r/>
      <w:r>
        <w:t xml:space="preserve">The Brussels investigation into Chinese subsidies is expected to conclude soon, potentially leading to targeted tariffs on Chinese products, although these measures are anticipated to be more measured compared to the US’s comprehensive tariffs. </w:t>
      </w:r>
      <w:r/>
    </w:p>
    <w:p>
      <w:r/>
      <w:r>
        <w:t>The geopolitical and economic dynamics indicate cautious but strategic responses from the EU in managing its trade relations with China, while leveraging enhanced trade opportunities with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