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IMF Urges UK Chancellor to Reconsider Pre-Election Tax Cuts Amid Economic Woes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IMF Advises Against Pre-Election Tax Cuts for the UK Amid Economic Concerns</w:t>
      </w:r>
      <w:r/>
    </w:p>
    <w:p>
      <w:r/>
      <w:r>
        <w:t>The International Monetary Fund (IMF) has advised UK Chancellor Jeremy Hunt to reconsider plans for tax cuts before the upcoming general election. This recommendation follows an assessment of the UK economy released on May 21, 2024.</w:t>
      </w:r>
      <w:r/>
    </w:p>
    <w:p>
      <w:r/>
      <w:r>
        <w:t>The IMF report highlights a £30 billion fiscal gap that cannot be resolved through accelerated economic growth or additional borrowing, predicting the UK's public debt could rise to 97% of annual national income. It suggests that expansive fiscal policies like the March budget's 2p national insurance cut should only proceed if offset by compensatory tax increases, a scenario unlikely given the current political landscape.</w:t>
      </w:r>
      <w:r/>
    </w:p>
    <w:p>
      <w:r/>
      <w:r>
        <w:t>Chancellor Hunt faces the difficult decision of potentially abandoning tax cuts to adhere to the IMF's advice, which urges higher carbon and road-use taxes, broader VAT and inheritance tax bases, and capital gains reforms. Additionally, the IMF calls for a review of the triple lock on state pensions, which currently ties increases to inflation, to manage state spending more effectively.</w:t>
      </w:r>
      <w:r/>
    </w:p>
    <w:p>
      <w:r/>
      <w:r>
        <w:t>In a related economic forecast, Bank of England (BoE) Governor Andrew Bailey anticipates a significant reduction in inflation, potentially around the 2% target, when April's Consumer Price Index (CPI) figures are released. This anticipated drop is driven mainly by falling energy costs. The BoE expects the CPI to decrease from 3.2% in March to 2.1% in April, a move that could influence the Monetary Policy Committee's decision on interest rates in their June meeting.</w:t>
      </w:r>
      <w:r/>
    </w:p>
    <w:p>
      <w:r/>
      <w:r>
        <w:t>If the optimism proves true, the central bank may lower interest rates from the current 5.25%. This reduction would provide a political boost for Chancellor Hunt, who will likely present the decline in inflation as an indication of the UK's economic recovery.</w:t>
      </w:r>
      <w:r/>
    </w:p>
    <w:p>
      <w:r/>
      <w:r>
        <w:t>Prime Minister Rishi Sunak has also expressed confidence in the UK's economic direction, noting recent positive GDP growth and upgraded IMF forecasts. However, he emphasized the need for continued adherence to economic strategies, despite the challenges highlighted in the IMF report.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