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Tribunal Urges Nations to Curb Greenhouse Gas Emissions to Protect Marine Environment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International Tribunal Rules Nations Must Curb Greenhouse Gas Emissions</w:t>
      </w:r>
      <w:r/>
    </w:p>
    <w:p>
      <w:r/>
      <w:r>
        <w:t>On May 21, 2024, the International Tribunal for the Law of the Sea, based in Hamburg, Germany, issued a landmark advisory opinion, stating that excessive greenhouse gases are pollutants with severe impacts on the marine environment. This unanimous opinion underscores that nations have a legal obligation to implement measures to mitigate marine pollution caused by greenhouse gases.</w:t>
      </w:r>
      <w:r/>
    </w:p>
    <w:p>
      <w:r/>
      <w:r>
        <w:t>The tribunal's decision responded to a request from a coalition of small island states, notably Antigua and Barbuda and Tuvalu, which are adversely affected by rising sea levels. The opinion classifies greenhouse gases as pollutants under the United Nations Convention on the Law of the Sea, ratified by over 165 countries, but not the United States.</w:t>
      </w:r>
      <w:r/>
    </w:p>
    <w:p>
      <w:r/>
      <w:r>
        <w:t>The tribunal's ruling emphasized that nations, particularly wealthier ones, must rapidly reduce emissions and support developing countries with funding and technology. This advisory opinion, although non-binding, is expected to influence future international and domestic laws and climate change litigation.</w:t>
      </w:r>
      <w:r/>
    </w:p>
    <w:p>
      <w:r/>
      <w:r>
        <w:t>The decision aligns with ongoing climate change deliberations in other international courts, including the International Court of Justice and the Inter-American Court of Human Rights, which are also examining states' responsibilities to address climate change impacts.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