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Reports First Human Case of H5N1 Avian Influenza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Human Case of H5N1 Detected in Australia</w:t>
      </w:r>
      <w:r/>
    </w:p>
    <w:p>
      <w:r/>
      <w:r>
        <w:t>Australia has reported its first human case of the H5N1 avian influenza, marking the first detection of this highly pathogenic strain of bird flu on the continent. The case involves a child who recently returned from India and contracted the virus in March 2024, likely through contact with a sick bird. The child experienced a severe infection but has fully recovered.</w:t>
      </w:r>
      <w:r/>
    </w:p>
    <w:p>
      <w:r/>
      <w:r>
        <w:t>Local health authorities have conducted contact tracing and found no further infections, indicating a very low risk of transmission to others. The Department of Health in Victoria, where the case was identified, is also responding to an unrelated avian influenza outbreak at a poultry farm.</w:t>
      </w:r>
      <w:r/>
    </w:p>
    <w:p>
      <w:r/>
      <w:r>
        <w:t>Globally, H5N1 has infected over 800 people with a mortality rate of roughly 50%. The virus has also recently spread to dairy cattle in the US, affecting 51 herds across nine states. Concerns are rising about the virus's ability to adapt and potentially spread between humans.</w:t>
      </w:r>
      <w:r/>
    </w:p>
    <w:p>
      <w:r/>
      <w:r>
        <w:t>Despite these developments, the WHO considers the risk to humans low but emphasizes the importance of real-time information sharing for preparedness.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