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Assault Intensifies in Ukraine's Kharkiv Region following U.S. Policy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Ukraine's Kharkiv Region Under Intense Russian Assault Amid Policy Shifts</w:t>
      </w:r>
      <w:r/>
    </w:p>
    <w:p>
      <w:r/>
      <w:r>
        <w:rPr>
          <w:b/>
        </w:rPr>
        <w:t>Date:</w:t>
      </w:r>
      <w:r>
        <w:t xml:space="preserve"> June 2, 2024</w:t>
        <w:br/>
      </w:r>
      <w:r/>
      <w:r>
        <w:rPr>
          <w:b/>
        </w:rPr>
        <w:t>Location:</w:t>
      </w:r>
      <w:r>
        <w:t xml:space="preserve"> Kharkiv, Ukraine </w:t>
      </w:r>
      <w:r/>
    </w:p>
    <w:p>
      <w:r/>
      <w:r>
        <w:t>On June 2, 2024, Russian forces renewed their assault on Ukraine’s Kharkiv region, which is near the Russian border. Ukrainian officials reported that the shelling of Kharkiv city killed nine people and injured 13, including eight children in Balakliia. These attacks come shortly after a significant shift in U.S. policy regarding Ukrainian use of American weaponry.</w:t>
      </w:r>
      <w:r/>
    </w:p>
    <w:p>
      <w:r/>
      <w:r>
        <w:t>Previously, the U.S. restricted Ukraine from using its military aid to strike targets within Russian territory. However, following repeated Ukrainian requests and deteriorating battlefield conditions, President Joe Biden reversed this stance on May 30. This change allows Ukraine to use U.S. military equipment to target certain Russian positions near the border but not deeper inside Russian territory. Ukrainian President Volodymyr Zelensky expressed cautious optimism about this development.</w:t>
      </w:r>
      <w:r/>
    </w:p>
    <w:p>
      <w:r/>
      <w:r>
        <w:t>Despite the policy adjustment, doubts remain about its potential to alter battlefield dynamics significantly. As a consequence, Russian forces continue their offensive, with Ukrainian front-line soldiers stating the necessity for further U.S. assistance, particularly long-range systems to disrupt Russian logistics and supply lines.</w:t>
      </w:r>
      <w:r/>
    </w:p>
    <w:p>
      <w:r/>
      <w:r>
        <w:t>On June 1, Ukrainian forces reported controlling 70% of Vovchansk, a key border town under constant Russian assault. Concurrently, significant destruction was inflicted on Ukrainian energy infrastructure due to Russian missile strikes.</w:t>
      </w:r>
      <w:r/>
    </w:p>
    <w:p>
      <w:r/>
      <w:r>
        <w:t>The situation in Ukraine is evolving rapidly as international responses and policies adapt to the ongoing conflict, with substantial implications for regional stability and security.</w:t>
      </w:r>
      <w:r/>
    </w:p>
    <w:p>
      <w:r/>
      <w:r>
        <w:rPr>
          <w:b/>
        </w:rPr>
        <w:t>Contributors:</w:t>
      </w:r>
      <w:r>
        <w:t xml:space="preserve"> Kyiv-based journalists O’Grady and Khudov, with reports from Washington.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