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IEA Warns World Falling Short on 2030 Renewable Energy Goals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IEA Warns World Falling Short on 2030 Renewable Energy Goals</w:t>
      </w:r>
      <w:r/>
    </w:p>
    <w:p>
      <w:r/>
      <w:r>
        <w:t>The International Energy Agency (IEA) has revealed that the world's current renewable energy plans fall nearly a third short of the global targets set for 2030. This warning comes as delegates from nearly 200 countries gather in Bonn for UN climate talks. The attendees are negotiating new climate finance deals and enhanced commitments to reduce greenhouse gas emissions, laying the groundwork for the COP29 summit in Baku, scheduled for November.</w:t>
      </w:r>
      <w:r/>
    </w:p>
    <w:p>
      <w:r/>
      <w:r>
        <w:t>Countries agreed at the COP28 summit in Dubai to triple global renewable energy generation to at least 11,000 gigawatts by 2030. However, IEA data indicates existing policies and commitments only project the installation of 8,000 gigawatts by the decade's end. China is responsible for nearly 40% of this capacity with its substantial solar, wind, and hydroelectric plans.</w:t>
      </w:r>
      <w:r/>
    </w:p>
    <w:p>
      <w:r/>
      <w:r>
        <w:t>Despite some progress since the 2015 Paris Agreement, where annual renewable capacity additions have tripled and the costs of solar and wind energy have decreased by 40%, there are significant hurdles. Issues such as permitting delays, under-investment, and grid infrastructure problems continue to hamper efforts. The IEA emphasizes that updated national decarbonization plans, due by early 2025, should detail more specific renewable energy targets.</w:t>
      </w:r>
      <w:r/>
    </w:p>
    <w:p>
      <w:r/>
      <w:r>
        <w:t xml:space="preserve">In related developments, Europe’s steel industry faces challenges meeting emission reduction targets, despite receiving over €8 billion in state aid for green projects. Major companies like ArcelorMittal, Thyssenkrupp, and Salzgitter have received significant funding but still fall short of the necessary pace for reducing their carbon footprint. The iron and steel sector, a significant source of industrial carbon dioxide emissions, needs further acceleration to meet global and regional climate goals. </w:t>
      </w:r>
      <w:r/>
    </w:p>
    <w:p>
      <w:r/>
      <w:r>
        <w:t>Environmental campaigners highlight transparency issues and call for more aggressive targets and investments in low-carbon technologies. These discussions underscore the complexities and required international cooperation to achieve the 2030 renewable energy aspirations and combat climate change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