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Competitiveness Crisis: Facing Economic Challenges Amid Global Competition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Europe Faces Economic Challenges Amid Global Competition</w:t>
      </w:r>
      <w:r/>
    </w:p>
    <w:p>
      <w:r/>
      <w:r>
        <w:t>Europe is experiencing a "competitiveness crisis" as its share in the global economy declines, struggling to keep pace with the United States and China. Factors include overly complex regulations, insufficient investment, and the fragmented nature of its financial markets and businesses. Former European Central Bank President Mario Draghi emphasizes the need for radical changes, such as increased joint spending and regulatory overhauls, to address these issues.</w:t>
      </w:r>
      <w:r/>
    </w:p>
    <w:p>
      <w:r/>
      <w:r>
        <w:t>Despite some initiatives, such as the Green Deal Industrial Plan, Europe's efforts are overshadowed by the massive investments made by the U.S. and China in industries like semiconductors and alternative energy. Europe’s private investment also lags, with corporations investing significantly less and growing slower than their American counterparts.</w:t>
      </w:r>
      <w:r/>
    </w:p>
    <w:p>
      <w:r/>
      <w:r>
        <w:t>In other developments, Gazprom, Russia's state-controlled gas giant, faces severe setbacks due to sanctions imposed following Russia’s invasion of Ukraine. A company-commissioned report indicates that Gazprom's European exports will not recover to prewar levels before 2035. Efforts to pivot towards the Chinese market are hampered by lower prices and a lack of finalized pipeline deals. The report acknowledges significant challenges, including technology and parts shortages due to sanctions and difficulties in modernizing LNG capacity.</w:t>
      </w:r>
      <w:r/>
    </w:p>
    <w:p>
      <w:r/>
      <w:r>
        <w:t>Both Europe and Gazprom must navigate these significant economic and geopolitical shifts to maintain competitiveness and growth.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