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Ruddy reflects on Birmingham City's turbulent season in the Championship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Veteran goalkeeper John Ruddy discussed his time at Birmingham City during their relegation battle in the 2023-24 season. Ruddy cited a "disconnect" within the club, stating that different departments were not aligned with the goal of securing victories. The club experienced four managerial changes throughout the season, which culminated in their relegation from the Championship after finishing 22nd with 50 points. Ruddy's contract with the club is set to expire this summer.</w:t>
      </w:r>
      <w:r/>
    </w:p>
    <w:p>
      <w:r/>
      <w:r>
        <w:t>Two of Birmingham's prominent streets will be hosting artisan markets this weekend. On June 8, Edgbaston Artisan Market will take place on Greenfield Crescent, offering a variety of food, drink, and local produce. The following day, on June 9, Kings Heath Artisan Market will be held on York Road, featuring around 40 stalls selling an array of items, including Pip's Hot Sauce.</w:t>
      </w:r>
      <w:r/>
    </w:p>
    <w:p>
      <w:r/>
      <w:r>
        <w:t>Aston Villa and Tottenham are both interested in signing Chelsea midfielder Conor Gallagher this summer. The 24-year-old player, who has one year left on his Chelsea contract, had a successful 2023-24 campaign under Mauricio Pochettino. Gallagher is reportedly willing to wait and assess his options before deciding on a move, with Atletico Madrid also in the running to sign him. Chelsea values Gallagher at £50 million.</w:t>
      </w:r>
      <w:r/>
    </w:p>
    <w:p>
      <w:r/>
      <w:r>
        <w:t>Plans for seven residential blocks in Winson Green, Birmingham, have been recommended for approval. The new development aims to provide 451 homes across buildings ranging from five to nine storeys and includes private gardens, balconies, and open spaces for residents. The plan also features a children's play area open to the public. Birmingham City Council will review the proposal next Thursday, June 13. The development is expected to include six percent affordable housing, based on a viability assessment.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