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Far-right Surge in European Parliament Elections Triggers Political Turmoil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European politics faced significant shifts after the recent European Parliament elections, held from June 6-9, 2024. The elections revealed a surge in far-right parties across the continent, particularly in France, Italy, and Germany, while triggering immediate political repercussions in these and other countries.</w:t>
      </w:r>
      <w:r/>
    </w:p>
    <w:p>
      <w:r/>
      <w:r>
        <w:t>In France, the far-right National Rally party, led by Marine Le Pen and Jordan Bardella, secured approximately 31.4% of the vote. This result dramatically outpaced President Emmanuel Macron's Renaissance party, which garnered about 14.6%. Responding to the defeat, Macron announced the dissolution of the National Assembly and called for snap legislative elections, to be held in two rounds on June 30 and July 7. This strategic move is seen as an effort to reassert control and challenge the rise of the far right.</w:t>
      </w:r>
      <w:r/>
    </w:p>
    <w:p>
      <w:r/>
      <w:r>
        <w:t>Germany also saw gains by the far-right, with the Alternative for Germany (AfD) party claiming around 16% of the vote, placing second behind the center-right CDU-CSU. This development comes despite recent controversies involving AfD candidates. The results have compounded the already tenuous position of Chancellor Olaf Scholz.</w:t>
      </w:r>
      <w:r/>
    </w:p>
    <w:p>
      <w:r/>
      <w:r>
        <w:t>In Italy, Prime Minister Giorgia Meloni’s Brothers of Italy party emerged strongly with about 28.8% of the vote, solidifying her influence as a central figure in European right-wing politics. Meloni’s victory contrasts with the struggles of mainstream parties in France and Germany, highlighting a broader shift towards conservative populism.</w:t>
      </w:r>
      <w:r/>
    </w:p>
    <w:p>
      <w:r/>
      <w:r>
        <w:t>The elections reinforced the conservative European People’s Party (EPP) as the largest group in the European Parliament, whereas the Greens suffered notable losses, reflecting a shift in voter priorities. These outcomes indicate that forthcoming legislative efforts, particularly those related to climate and migration policies, could face significant challenges.</w:t>
      </w:r>
      <w:r/>
    </w:p>
    <w:p>
      <w:r/>
      <w:r>
        <w:t>These electoral results underscore the increasing sway of nationalist and populist sentiments in European politics, potentially reshaping legislative dynamics in the European Parliament and affecting the future policy directions of the European Union.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