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Elections 2024: Political Shifts in Italy and France Shake Up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Giorgia Meloni's Brothers of Italy party significantly increased its vote share to 29 percent in the June 2024 European elections, up from 26 percent in 2022. This success led Meloni, who is Italy's prime minister, to celebrate by making a Churchillian "V for victory" gesture. Her party surpassed the center-left Democratic Party, which garnered 24.5 percent.</w:t>
      </w:r>
      <w:r/>
    </w:p>
    <w:p>
      <w:r/>
      <w:r>
        <w:t>In France, Emmanuel Macron dissolved parliament and called for snap elections (to be held in two rounds on June 30 and July 7) after his party, Renew, suffered a significant defeat in the European elections. National Rally, led by Marine Le Pen and Jordan Bardella, took 31.4 percent of the vote, prompting heated political movements. Notably, Éric Ciotti, leader of the center-right Republicans, suggested an alliance with National Rally, causing internal turmoil within his party. Major Republicans figures, like Gérard Larcher and Michel Barnier, openly opposed Ciotti's suggestion.</w:t>
      </w:r>
      <w:r/>
    </w:p>
    <w:p>
      <w:r/>
      <w:r>
        <w:t>Violence erupted in France with left-wing protests in several cities, including Paris, following the elections. Emmanuel Macron, in his first interview post-election, defended his decision, emphasizing trust in the French electorate and dismissing fears that the move could unduly empower the far-right.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