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Right-Wing Parties Sweep European Elections, Shifting Political Dynamics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Giorgia Meloni's Brothers of Italy secured a significant 29% of the vote in the European elections, surpassing their 2022 achievement of 26% and cementing their position as Italy's leading party. The Italian Prime Minister celebrated by emulating Winston Churchill's iconic V for victory gesture and thanked supporters on social media.</w:t>
      </w:r>
      <w:r/>
    </w:p>
    <w:p>
      <w:r/>
      <w:r>
        <w:t>The rise of right-wing parties was evident across Europe. In France, Marine Le Pen's National Rally outperformed with 31.4% of the vote, prompting President Emmanuel Macron to call for snap parliamentary elections set for June 30 and July 7. This unexpected move, following his party's disappointing 14.6% voter share, has shaken the political landscape.</w:t>
      </w:r>
      <w:r/>
    </w:p>
    <w:p>
      <w:r/>
      <w:r>
        <w:t>Éric Ciotti, leader of the Republicans, suggested an unprecedented alliance with National Rally. The recommendation ignited controversy within the party, traditionally opposed to far-right coalitions. Criticism of Ciotti came swiftly from within his party, highlighting the deep ideological divides.</w:t>
      </w:r>
      <w:r/>
    </w:p>
    <w:p>
      <w:r/>
      <w:r>
        <w:t>In Austria, the Freedom Party led with 25.4% of votes, while Germany's Alternative for Deutschland secured the second position. Belgium's Vlaams Belang narrowly won European elections, reflecting a broader rightward trend across the region.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