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anticipates China's live lobster ban to be lifted after Premier Li Qiang's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 is expecting China to lift its ban on live lobster imports following a visit by Chinese Premier Li Qiang. Australian Trade Minister Don Farrell made this prediction on Wednesday, emphasizing China's visit as a sign of improving bilateral relations. Li's visit, which commences on Saturday, marks the first by a Chinese premier to Australia in seven years.</w:t>
      </w:r>
      <w:r/>
    </w:p>
    <w:p>
      <w:r/>
      <w:r>
        <w:t>In 2020, China imposed various trade barriers on Australian goods, including beef, barley, coal, wood, and wine, resulting in significant financial losses for Australian exporters. These measures followed a call by Australia for an independent investigation into COVID-19's origins.</w:t>
      </w:r>
      <w:r/>
    </w:p>
    <w:p>
      <w:r/>
      <w:r>
        <w:t>Since the center-left Labor Party came to power in 2022, Australian Prime Minister Anthony Albanese and Trade Minister Farrell have worked towards stabilizing the relationship. Beijing lifted tariffs on Australian wine in March and restrictions on beef in December 2023.</w:t>
      </w:r>
      <w:r/>
    </w:p>
    <w:p>
      <w:r/>
      <w:r>
        <w:t>Albanese's November visit to Beijing was the first by an Australian leader in seven years and marked a turning point in diplomatic relations. Premier Li will be accompanied by Commerce Minister Wang Wentao during his visit to Adelaide, Canberra, and Perth.</w:t>
      </w:r>
      <w:r/>
    </w:p>
    <w:p>
      <w:r/>
      <w:r>
        <w:t>During the trip, Albanese plans to address ongoing security issues between Australian and Chinese forces in international waters and advocate for the release of Australian blogger Yang Hengjun from a Beijing prison.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