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Imposes Tariffs on Chinese Electric Vehicles Amid Concerns Over Unfair Competition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Union (EU) announced on June 12, 2024, that it would impose tariffs on electric vehicles (EVs) imported from China, which could reach up to 38%. This decision follows an investigation by the European Commission, the EU's executive arm, which found that Chinese EV manufacturers benefit from significant subsidies, allowing them to sell at lower prices, posing a threat to European automotive industries.</w:t>
      </w:r>
      <w:r/>
    </w:p>
    <w:p>
      <w:r/>
      <w:r>
        <w:t>The tariffs will vary between 17.4% and 38.1% for leading Chinese manufacturers like BYD, Geely, and SAIC. Other Chinese automakers will face tariffs of either 21% or 38.1%, depending on their cooperation with the EU's investigation. The aim is to counteract what the EU sees as unfair competition from subsidized Chinese imports.</w:t>
      </w:r>
      <w:r/>
    </w:p>
    <w:p>
      <w:r/>
      <w:r>
        <w:t>This move has raised concerns among European automakers who fear higher prices and potential retaliatory actions from China. The investigation identified that approximately 37% of all electric vehicles imported to Europe, including those from Tesla and BMW, are Chinese-made. Last year, the value of these imports surged to $11.5 billion, marking a significant increase from $1.6 billion in 2020.</w:t>
      </w:r>
      <w:r/>
    </w:p>
    <w:p>
      <w:r/>
      <w:r>
        <w:t>The new tariffs will take effect provisionally by July 4, 2024, unless a resolution is reached with the Chinese authorities. This development is part of a broader trade dispute over China's state support for various green tech exports, including solar panels and wind turbines.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