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 to Impose Higher Tariffs on Chinese Electric Vehicles Amid Trade Dispute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has announced plans to significantly increase tariffs on Chinese electric vehicles (EVs), with actions set to take effect on a provisional basis by July 4, 2024, unless an agreement is reached with China. The new tariffs will range from 17.4% to 38.1%, depending on the company, added to an existing 10% tariff, potentially bringing the highest total duties close to 50%. Manufacturers affected include prominent Chinese brands such as BYD, Geely, and SAIC.</w:t>
      </w:r>
      <w:r/>
    </w:p>
    <w:p>
      <w:r/>
      <w:r>
        <w:t>The EU's decision follows an investigation by the European Commission, launched in October 2023, concluding that Chinese EV makers benefit from unfair government subsidies. The Commission claims these subsidies allow Chinese brands to undercut European competitors, causing economic harm.</w:t>
      </w:r>
      <w:r/>
    </w:p>
    <w:p>
      <w:r/>
      <w:r>
        <w:t>China's Ministry of Commerce criticized the move, accusing the EU of exacerbating trade tensions, while a Chinese Foreign Ministry spokesperson labeled the investigation as protectionism, vowing to take necessary measures to defend China's interests.</w:t>
      </w:r>
      <w:r/>
    </w:p>
    <w:p>
      <w:r/>
      <w:r>
        <w:t>The EU is also probing other Chinese sectors, including wind turbine companies and solar panel suppliers. However, there is resistance to adopting similar measures in the UK, where experts argue high tariffs would limit consumer choices and maintain high prices for EVs.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