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Pursues Global Electric Vehicle Market Amid EU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Stellantis to Compete Globally in Electric Vehicle Market Amid EU Tariffs</w:t>
      </w:r>
      <w:r/>
    </w:p>
    <w:p>
      <w:r/>
      <w:r>
        <w:t>Stellantis, the multinational automotive company, has declared its intention to compete globally in the electric vehicle (EV) market, despite recent tariff announcements from the European Union targeting Chinese-made EVs. Carlos Tavares, CEO of Stellantis, criticized the EU's decision to impose additional duties of up to 38.1% on Chinese imports starting in July 2024.</w:t>
      </w:r>
      <w:r/>
    </w:p>
    <w:p>
      <w:r/>
      <w:r>
        <w:t>Speaking at an investor day and an annual meeting in Detroit, Tavares emphasized that Stellantis prefers to maintain a competitive edge through performance and affordability rather than relying on protectionist measures. He highlighted the company's commitment to an "asset-light" strategy in China, focusing on exporting rather than manufacturing locally.</w:t>
      </w:r>
      <w:r/>
    </w:p>
    <w:p>
      <w:r/>
      <w:r>
        <w:t>Stellantis, formed from the €40bn merger between Fiat Chrysler and PSA Peugeot in 2021, has taken significant steps towards enhancing its market presence. The company purchased a 21% stake in Chinese carmaker Leapmotor and formed a joint venture to sell and manufacture Leapmotor vehicles outside China. Some of these will be assembled in Stellantis’s European plants to navigate the new tariffs effectively.</w:t>
      </w:r>
      <w:r/>
    </w:p>
    <w:p>
      <w:r/>
      <w:r>
        <w:t>The European automotive industry is divided over these tariffs. German automakers, who derive a substantial portion of their sales from China, opposed the tariffs citing potential retaliation. Companies like Mercedes and BMW warned that these measures could hinder global trade and innovation. Conversely, French and Italian brands like Renault and Stellantis support the tariffs, aiming to curb the influx of cheaper Chinese models.</w:t>
      </w:r>
      <w:r/>
    </w:p>
    <w:p>
      <w:r/>
      <w:r>
        <w:t>Tavares acknowledged operational failings in Stellantis’ U.S. plants, attributing issues to delayed responses and inadequate marketing strategies, which he personally takes responsibility for. The company's first-quarter global shipments have seen a 10% drop, with revenues decreasing by 12%.</w:t>
      </w:r>
      <w:r/>
    </w:p>
    <w:p>
      <w:r/>
      <w:r>
        <w:t>Tavares remains confident in Stellantis’s multi-energy platform strategy, which includes fully electric and plug-in hybrid models, as a means to enhance competitiveness against rapid Chinese advancements in the EV sector. Stellantis plans to continue its offensive strategy globally, ensuring product performance, range, and affordability meet market demands.</w:t>
      </w:r>
      <w:r/>
    </w:p>
    <w:p>
      <w:r/>
      <w:r>
        <w:t>Stellantis’s strategic adjustments and partnerships signal a proactive approach to the evolving automotive landscape amidst regulatory and market pressures.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