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Ardian and PIF Finalise £3.3 Billion Deal to Acquire Stake in Heathrow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Private equity group Ardian and Saudi Arabia’s Public Investment Fund (PIF) have finalized a deal to acquire a significant stake in Heathrow Airport. The agreement, valued at £3.3 billion, sees Ardian and PIF collectively purchasing a 37.6% stake in London’s busiest airport. Ardian will hold a 22.6% stake, while PIF will possess 15%. </w:t>
      </w:r>
      <w:r/>
    </w:p>
    <w:p>
      <w:r/>
      <w:r>
        <w:t>This transaction follows the sale of most of Ferrovial’s 25% stake, ending its 18-year-long ownership. Other participating sellers include Canadian pension fund Caisse de dépôt et placement du Québec (CDPQ) and the UK's Universities Superannuation Scheme (USS), although details of their exact stakes were not specified. Ferrovial will retain a 5.3% stake.</w:t>
      </w:r>
      <w:r/>
    </w:p>
    <w:p>
      <w:r/>
      <w:r>
        <w:t>The deal addresses tag-along rights, allowing other investors to join in selling their shares. As a result, Ardian will become the largest shareholder in Heathrow’s parent company, with the Qatar Investment Authority holding 20%. The transaction values Heathrow at £8.7 billion, slightly less than a previous valuation.</w:t>
      </w:r>
      <w:r/>
    </w:p>
    <w:p>
      <w:r/>
      <w:r>
        <w:t>CEO statements highlighted their satisfaction in reaching the agreement. Other involved parties, including CDPQ and USS, declined to comment.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