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Australian Opposition Leader Peter Dutton Rejects 2030 Emissions Target, Raising Concerns Over Climate Agreement Compliance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Peter Dutton, the leader of the opposition in Australia, has announced that he does not support the legislated 2030 emissions reduction target, despite warnings that this stance could place Australia in breach of the Paris climate agreement. This move has drawn attention amid speculations that it aims to divert focus ahead of an upcoming election.</w:t>
      </w:r>
    </w:p>
    <w:p>
      <w:r>
        <w:t>In a related context, discussions have intensified around using Special Drawing Rights (SDRs) as a tool for development and climate finance, particularly in light of the COVID-19 pandemic. A policy brief advocates for annual allocations of at least $200 billion in SDRs and recommends more than doubling the share for low- and middle-income countries. The brief also proposes reforms to strengthen the SDR system, enabling governments to utilize these funds for developmental and climate-related projects.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