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UK Leader Nigel Farage Stands Out Amid Political Absences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Reform UK Leader Prominent Amid Political Leadership Absences</w:t>
      </w:r>
      <w:r/>
    </w:p>
    <w:p>
      <w:r/>
      <w:r>
        <w:t>Nigel Farage, leader of Reform UK, prominently addressed the media as other major political leaders pulled back from campaigning on Friday. Farage, aiming for over six million votes in the upcoming General Election, declared his party a key opposition to Labour, critiquing the Conservatives as "hopelessly split." A YouGov survey commissioned by The Times indicated Reform UK at 19% in voting intention, surpassing the Conservatives at 18%.</w:t>
      </w:r>
      <w:r/>
    </w:p>
    <w:p>
      <w:r/>
      <w:r>
        <w:t>Prime Minister Rishi Sunak attended the G7 summit in Puglia, Italy. During the meeting, he praised Italian Prime Minister Giorgia Meloni for her role in launching a G7 coalition to combat human smuggling. Sunak also met Pope Francis, who advocated for stronger AI regulations.</w:t>
      </w:r>
      <w:r/>
    </w:p>
    <w:p>
      <w:r/>
      <w:r>
        <w:t>Meanwhile, Scotland's First Minister was in Munich with the Tartan Army for the Euro 2024 match against Germany. In Belfast, Sinn Fein leaders Mary Lou McDonald and Michelle O'Neill launched their candidate for the July 4 poll, expressing confidence in retaining their seven Westminster seats.</w:t>
      </w:r>
      <w:r/>
    </w:p>
    <w:p>
      <w:r/>
      <w:r>
        <w:t>Key financial figures Laura Trott and Rachel Reeves elaborated their parties' respective manifestos on the same 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